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38DE2">
      <w:pPr>
        <w:pStyle w:val="2"/>
        <w:jc w:val="center"/>
      </w:pPr>
      <w:bookmarkStart w:id="0" w:name="_Toc214461783"/>
      <w:r>
        <w:rPr>
          <w:rFonts w:hint="eastAsia"/>
        </w:rPr>
        <w:t>科学研究</w:t>
      </w:r>
      <w:bookmarkEnd w:id="0"/>
    </w:p>
    <w:p w14:paraId="5199169E">
      <w:pPr>
        <w:ind w:firstLine="560"/>
        <w:jc w:val="both"/>
        <w:rPr>
          <w:rFonts w:ascii="FangSong" w:hAnsi="FangSong" w:eastAsia="FangSong"/>
          <w:color w:val="auto"/>
          <w:sz w:val="28"/>
          <w:szCs w:val="28"/>
        </w:rPr>
      </w:pPr>
      <w:r>
        <w:rPr>
          <w:rFonts w:hint="eastAsia" w:ascii="FangSong" w:hAnsi="FangSong" w:eastAsia="FangSong"/>
          <w:color w:val="auto"/>
          <w:sz w:val="28"/>
          <w:szCs w:val="28"/>
        </w:rPr>
        <w:t>学院积极围绕人才培养目标，根据学科特点，积极围绕国家和社会发展需求，深入开展科学研究。</w:t>
      </w:r>
      <w:r>
        <w:rPr>
          <w:rFonts w:ascii="FangSong" w:hAnsi="FangSong" w:eastAsia="FangSong"/>
          <w:color w:val="auto"/>
          <w:sz w:val="28"/>
          <w:szCs w:val="28"/>
        </w:rPr>
        <w:t>“十四五”以来，学院获批各类科研项目170余项，其中省部级以上项目30余项，国家社科基金项目1</w:t>
      </w:r>
      <w:r>
        <w:rPr>
          <w:rFonts w:hint="eastAsia" w:ascii="FangSong" w:hAnsi="FangSong" w:eastAsia="FangSong"/>
          <w:color w:val="auto"/>
          <w:sz w:val="28"/>
          <w:szCs w:val="28"/>
        </w:rPr>
        <w:t>5</w:t>
      </w:r>
      <w:r>
        <w:rPr>
          <w:rFonts w:ascii="FangSong" w:hAnsi="FangSong" w:eastAsia="FangSong"/>
          <w:color w:val="auto"/>
          <w:sz w:val="28"/>
          <w:szCs w:val="28"/>
        </w:rPr>
        <w:t>项，省部级重点项目2项。教师发表SSCI、A&amp;HCI、CSSCI等高水平文章120余篇，出版著作40余部，发表《光明日报》《人民日报》等报刊文章近40篇，被各级领导部门采纳/批示的资政成果20余项，新增科研经费2300余万元。获得第九届高等学校科学研究优秀成果奖三等奖1项、国家级专业学会优秀学术成果奖一等奖、卓越学术奖等奖项多项。1人入选全国广播电视和网络视听行业青年创新人才工程。</w:t>
      </w:r>
    </w:p>
    <w:p w14:paraId="658054BC">
      <w:pPr>
        <w:ind w:firstLine="560"/>
        <w:jc w:val="both"/>
        <w:rPr>
          <w:rFonts w:ascii="FangSong" w:hAnsi="FangSong" w:eastAsia="FangSong"/>
          <w:color w:val="EE0000"/>
          <w:sz w:val="28"/>
          <w:szCs w:val="28"/>
        </w:rPr>
      </w:pPr>
      <w:r>
        <w:drawing>
          <wp:inline distT="0" distB="0" distL="0" distR="0">
            <wp:extent cx="4681855" cy="2496820"/>
            <wp:effectExtent l="0" t="0" r="17145" b="17780"/>
            <wp:docPr id="1026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7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4968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90736">
      <w:pPr>
        <w:ind w:firstLine="560"/>
        <w:jc w:val="both"/>
        <w:rPr>
          <w:rFonts w:hint="eastAsia" w:ascii="FangSong" w:hAnsi="FangSong" w:eastAsia="FangSong"/>
          <w:color w:val="EE0000"/>
          <w:sz w:val="28"/>
          <w:szCs w:val="28"/>
        </w:rPr>
      </w:pPr>
    </w:p>
    <w:p w14:paraId="44734CA2">
      <w:pPr>
        <w:ind w:firstLine="560"/>
        <w:jc w:val="both"/>
        <w:rPr>
          <w:rFonts w:hint="eastAsia" w:ascii="FangSong" w:hAnsi="FangSong" w:eastAsia="FangSong"/>
          <w:color w:val="EE0000"/>
          <w:sz w:val="28"/>
          <w:szCs w:val="28"/>
        </w:rPr>
      </w:pPr>
      <w:r>
        <w:rPr>
          <w:rFonts w:hint="eastAsia"/>
        </w:rPr>
        <w:drawing>
          <wp:inline distT="0" distB="0" distL="114300" distR="114300">
            <wp:extent cx="5272405" cy="3514725"/>
            <wp:effectExtent l="0" t="0" r="10795" b="15875"/>
            <wp:docPr id="3" name="图片 3" descr="0I8A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I8A29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50373">
      <w:pPr>
        <w:pStyle w:val="3"/>
      </w:pPr>
      <w:bookmarkStart w:id="1" w:name="_Toc214461784"/>
      <w:r>
        <w:rPr>
          <w:rFonts w:hint="eastAsia"/>
        </w:rPr>
        <w:t>十四五期间国家社科基金项目</w:t>
      </w:r>
      <w:bookmarkEnd w:id="1"/>
    </w:p>
    <w:p w14:paraId="4A5230F6"/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1"/>
        <w:gridCol w:w="1559"/>
      </w:tblGrid>
      <w:tr w14:paraId="2AE34CA3">
        <w:trPr>
          <w:trHeight w:val="280" w:hRule="atLeast"/>
        </w:trPr>
        <w:tc>
          <w:tcPr>
            <w:tcW w:w="6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D3392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273DA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</w:rPr>
              <w:t>项目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负责人</w:t>
            </w:r>
          </w:p>
        </w:tc>
      </w:tr>
      <w:tr w14:paraId="636E769C">
        <w:trPr>
          <w:trHeight w:val="280" w:hRule="atLeast"/>
        </w:trPr>
        <w:tc>
          <w:tcPr>
            <w:tcW w:w="6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D3C0E">
            <w:pPr>
              <w:pStyle w:val="6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喧嚣与共鸣：网络微舆论的极化困境与共识机制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59CD6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苏林森</w:t>
            </w:r>
          </w:p>
        </w:tc>
      </w:tr>
      <w:tr w14:paraId="6401AFBD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D4B8A">
            <w:pPr>
              <w:pStyle w:val="6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“一带一路”与世界经济体系构建研究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7C733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吴丹丹</w:t>
            </w:r>
          </w:p>
        </w:tc>
      </w:tr>
      <w:tr w14:paraId="08455A93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2A42E">
            <w:pPr>
              <w:pStyle w:val="6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贫困的终结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1667C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李畔</w:t>
            </w:r>
          </w:p>
        </w:tc>
      </w:tr>
      <w:tr w14:paraId="126C1691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FC5E8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中国特殊儿童语言教育的政策演进及理论构建研究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6767B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尹静</w:t>
            </w:r>
          </w:p>
        </w:tc>
      </w:tr>
      <w:tr w14:paraId="3B09CA6F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AA6FE6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数智赋能下中国节日的多模态叙事与国际传播效能提升研究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45BFD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李冰</w:t>
            </w:r>
          </w:p>
        </w:tc>
      </w:tr>
      <w:tr w14:paraId="29FF3A01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7CFC8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新媒体时代中国企业外宣话语身份的多模态建构及提升策略研究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B4A53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程霞</w:t>
            </w:r>
          </w:p>
        </w:tc>
      </w:tr>
      <w:tr w14:paraId="449B10EF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108C3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生成式人工智能对文化记忆建构的伦理风险及其治理研究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D16A8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张奎</w:t>
            </w:r>
          </w:p>
        </w:tc>
      </w:tr>
      <w:tr w14:paraId="7FB7A444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B9D4D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国际传播中道德情绪的流动、演化和影响研究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0CF25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王靖雨</w:t>
            </w:r>
          </w:p>
        </w:tc>
      </w:tr>
      <w:tr w14:paraId="0C18C93B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59573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晚清中文报刊译介近代知识的模式及演变研究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9F716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卢明玉</w:t>
            </w:r>
          </w:p>
        </w:tc>
      </w:tr>
      <w:tr w14:paraId="78416197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834C8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《田野政治学的构建》英文版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3B5C6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陈竞宇</w:t>
            </w:r>
          </w:p>
        </w:tc>
      </w:tr>
      <w:tr w14:paraId="565D08FB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9D6F0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短视频情绪极化视阈下的橄榄型舆论场治理研究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11FC7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刘晓燕</w:t>
            </w:r>
          </w:p>
        </w:tc>
      </w:tr>
      <w:tr w14:paraId="7AA0389E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7A3DE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中国特色对外话语体系的译介与传播研究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34CA5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周琦</w:t>
            </w:r>
          </w:p>
        </w:tc>
      </w:tr>
      <w:tr w14:paraId="3E0F1535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90E11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ascii="楷体" w:hAnsi="楷体" w:eastAsia="楷体"/>
                <w:color w:val="000000"/>
                <w:sz w:val="24"/>
                <w:szCs w:val="24"/>
              </w:rPr>
              <w:t>20世纪美国生态诗歌的中国渊源研究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85204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耿纪永</w:t>
            </w:r>
          </w:p>
        </w:tc>
      </w:tr>
      <w:tr w14:paraId="58D9B8C1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E6C49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短视频意见领袖在国际传播中的角色与效能研究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9B10A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王晓培</w:t>
            </w:r>
          </w:p>
        </w:tc>
      </w:tr>
      <w:tr w14:paraId="41C6BC65">
        <w:trPr>
          <w:trHeight w:val="280" w:hRule="atLeast"/>
        </w:trPr>
        <w:tc>
          <w:tcPr>
            <w:tcW w:w="69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68603">
            <w:pPr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智能推荐中算法感知对网络舆论的影响及治理机制研究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14A27">
            <w:pPr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晏齐宏</w:t>
            </w:r>
          </w:p>
        </w:tc>
      </w:tr>
    </w:tbl>
    <w:p w14:paraId="227F6434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省部级学科平台（含共建，4个）：</w:t>
      </w:r>
    </w:p>
    <w:p w14:paraId="6702214E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北京市高等学校语言实验教学示范中心</w:t>
      </w:r>
    </w:p>
    <w:p w14:paraId="33FC8FEF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北京智慧广电网络试听重点实验室</w:t>
      </w:r>
    </w:p>
    <w:p w14:paraId="2D77223C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拉丁美洲联合研究中心</w:t>
      </w:r>
    </w:p>
    <w:p w14:paraId="6F5CBD4F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北京哲学社会科学创新中心；</w:t>
      </w:r>
    </w:p>
    <w:p w14:paraId="0828AB06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校级虚体研究中心（4个）：</w:t>
      </w:r>
    </w:p>
    <w:p w14:paraId="754361E9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北京交通大学乌拉圭研究中心</w:t>
      </w:r>
    </w:p>
    <w:p w14:paraId="0678C8D2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北京交通大学交通行业中外人文交流研究院</w:t>
      </w:r>
    </w:p>
    <w:p w14:paraId="336952A7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北京交通大学中国文化产业研究院</w:t>
      </w:r>
    </w:p>
    <w:p w14:paraId="1EC79D30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北京交通大学中国丝路发展研究院；</w:t>
      </w:r>
    </w:p>
    <w:p w14:paraId="4A40DC60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院级虚体教研机构（9个）：</w:t>
      </w:r>
    </w:p>
    <w:p w14:paraId="12DBC0E6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习近平新时代中国特色社会主义思想国际传播研究中心</w:t>
      </w:r>
    </w:p>
    <w:p w14:paraId="678B6CC8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品牌战略与全球传播创新研究中心</w:t>
      </w:r>
    </w:p>
    <w:p w14:paraId="57828F0F">
      <w:pPr>
        <w:rPr>
          <w:rFonts w:ascii="Times New Roman" w:hAnsi="Times New Roman" w:eastAsia="FangSong" w:cs="Times New Roman"/>
          <w:kern w:val="2"/>
          <w:sz w:val="28"/>
          <w:szCs w:val="28"/>
        </w:rPr>
      </w:pPr>
      <w:r>
        <w:rPr>
          <w:rFonts w:ascii="Times New Roman" w:hAnsi="Times New Roman" w:eastAsia="FangSong" w:cs="Times New Roman"/>
          <w:kern w:val="2"/>
          <w:sz w:val="28"/>
          <w:szCs w:val="28"/>
        </w:rPr>
        <w:t>翻译与跨学科研究中心等院级虚体机</w:t>
      </w:r>
      <w:bookmarkStart w:id="2" w:name="_GoBack"/>
      <w:bookmarkEnd w:id="2"/>
      <w:r>
        <w:rPr>
          <w:rFonts w:ascii="Times New Roman" w:hAnsi="Times New Roman" w:eastAsia="FangSong" w:cs="Times New Roman"/>
          <w:kern w:val="2"/>
          <w:sz w:val="28"/>
          <w:szCs w:val="28"/>
        </w:rPr>
        <w:t>构</w:t>
      </w:r>
    </w:p>
    <w:p w14:paraId="55CED475">
      <w:r>
        <w:rPr>
          <w:rFonts w:hint="eastAsia" w:ascii="FangSong" w:hAnsi="FangSong" w:eastAsia="FangSong"/>
          <w:sz w:val="28"/>
          <w:szCs w:val="28"/>
        </w:rPr>
        <w:t>······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FangSong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5B03"/>
    <w:rsid w:val="3E7D636F"/>
    <w:rsid w:val="3F6F23D7"/>
    <w:rsid w:val="5FFF5B03"/>
    <w:rsid w:val="C99F8BBE"/>
    <w:rsid w:val="EFFD8F44"/>
    <w:rsid w:val="F637E638"/>
    <w:rsid w:val="F7F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2E54A1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2E54A1" w:themeColor="accent1" w:themeShade="BF"/>
      <w:kern w:val="2"/>
      <w:sz w:val="40"/>
      <w:szCs w:val="4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1"/>
    <w:basedOn w:val="1"/>
    <w:uiPriority w:val="0"/>
    <w:rPr>
      <w:rFonts w:ascii="Helvetica" w:hAnsi="Helvetica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2025-12-04T00:17:00Z</dcterms:created>
  <dc:creator>安若琳</dc:creator>
  <cp:lastModifiedBy>安若琳</cp:lastModifiedBy>
  <dcterms:modified xsi:type="dcterms:W3CDTF">2025-12-07T14:20:43Z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65D3522CCD35867708F22F6902848DF6_41</vt:lpwstr>
  </property>
</Properties>
</file>