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35743">
      <w:pPr>
        <w:wordWrap w:val="0"/>
        <w:spacing w:line="292" w:lineRule="auto"/>
        <w:jc w:val="center"/>
        <w:rPr>
          <w:rFonts w:hint="eastAsia" w:ascii="黑体" w:hAnsi="黑体" w:eastAsia="黑体" w:cs="黑体"/>
          <w:sz w:val="32"/>
          <w:szCs w:val="32"/>
        </w:rPr>
      </w:pPr>
      <w:bookmarkStart w:id="0" w:name="_GoBack"/>
      <w:bookmarkEnd w:id="0"/>
      <w:r>
        <w:rPr>
          <w:rFonts w:hint="eastAsia" w:ascii="黑体" w:hAnsi="黑体" w:eastAsia="黑体" w:cs="黑体"/>
          <w:b/>
          <w:color w:val="000000"/>
          <w:sz w:val="32"/>
          <w:szCs w:val="32"/>
        </w:rPr>
        <w:t>翻译硕士专业学位研究生（</w:t>
      </w:r>
      <w:r>
        <w:rPr>
          <w:rFonts w:hint="eastAsia" w:ascii="黑体" w:hAnsi="黑体" w:eastAsia="黑体" w:cs="黑体"/>
          <w:b/>
          <w:color w:val="000000"/>
          <w:sz w:val="32"/>
          <w:szCs w:val="32"/>
          <w:lang w:val="en-US" w:eastAsia="zh-CN"/>
        </w:rPr>
        <w:t>英语</w:t>
      </w:r>
      <w:r>
        <w:rPr>
          <w:rFonts w:hint="eastAsia" w:ascii="黑体" w:hAnsi="黑体" w:eastAsia="黑体" w:cs="黑体"/>
          <w:b/>
          <w:color w:val="000000"/>
          <w:sz w:val="32"/>
          <w:szCs w:val="32"/>
        </w:rPr>
        <w:t>笔译）培养方案</w:t>
      </w:r>
    </w:p>
    <w:p w14:paraId="6CCEC71D">
      <w:pPr>
        <w:wordWrap w:val="0"/>
        <w:spacing w:before="80" w:line="336" w:lineRule="auto"/>
        <w:jc w:val="center"/>
        <w:rPr>
          <w:rFonts w:hint="eastAsia" w:ascii="黑体" w:hAnsi="黑体" w:eastAsia="黑体" w:cs="黑体"/>
          <w:b/>
          <w:color w:val="000000"/>
          <w:sz w:val="28"/>
          <w:szCs w:val="28"/>
        </w:rPr>
      </w:pPr>
      <w:r>
        <w:rPr>
          <w:rFonts w:hint="eastAsia" w:ascii="黑体" w:hAnsi="黑体" w:eastAsia="黑体" w:cs="黑体"/>
          <w:b/>
          <w:color w:val="000000"/>
          <w:sz w:val="28"/>
          <w:szCs w:val="28"/>
        </w:rPr>
        <w:t>（学科代码：055100，授予</w:t>
      </w:r>
      <w:r>
        <w:rPr>
          <w:rFonts w:hint="eastAsia" w:ascii="黑体" w:hAnsi="黑体" w:eastAsia="黑体" w:cs="黑体"/>
          <w:b/>
          <w:color w:val="000000"/>
          <w:sz w:val="28"/>
          <w:szCs w:val="28"/>
          <w:lang w:val="en-US" w:eastAsia="zh-CN"/>
        </w:rPr>
        <w:t>英语笔译</w:t>
      </w:r>
      <w:r>
        <w:rPr>
          <w:rFonts w:hint="eastAsia" w:ascii="黑体" w:hAnsi="黑体" w:eastAsia="黑体" w:cs="黑体"/>
          <w:b/>
          <w:color w:val="000000"/>
          <w:sz w:val="28"/>
          <w:szCs w:val="28"/>
        </w:rPr>
        <w:t>专业学位）</w:t>
      </w:r>
    </w:p>
    <w:p w14:paraId="6E3C7AA5">
      <w:pPr>
        <w:wordWrap w:val="0"/>
        <w:spacing w:before="70" w:line="384" w:lineRule="auto"/>
        <w:ind w:left="40" w:right="60" w:firstLine="420"/>
        <w:jc w:val="center"/>
        <w:rPr>
          <w:rFonts w:hint="eastAsia" w:ascii="黑体" w:hAnsi="黑体" w:eastAsia="黑体" w:cs="黑体"/>
          <w:b/>
          <w:color w:val="000000"/>
          <w:sz w:val="28"/>
          <w:szCs w:val="28"/>
          <w:lang w:val="en-US" w:eastAsia="zh-CN"/>
        </w:rPr>
      </w:pPr>
      <w:r>
        <w:rPr>
          <w:rFonts w:hint="eastAsia" w:ascii="黑体" w:hAnsi="黑体" w:eastAsia="黑体" w:cs="黑体"/>
          <w:b/>
          <w:color w:val="000000"/>
          <w:sz w:val="28"/>
          <w:szCs w:val="28"/>
          <w:lang w:val="en-US" w:eastAsia="zh-CN"/>
        </w:rPr>
        <w:t>语言与传播学院</w:t>
      </w:r>
    </w:p>
    <w:p w14:paraId="3C6BA053">
      <w:pPr>
        <w:wordWrap w:val="0"/>
        <w:spacing w:before="70" w:line="384" w:lineRule="auto"/>
        <w:ind w:left="40" w:right="60" w:firstLine="420"/>
        <w:jc w:val="both"/>
        <w:rPr>
          <w:sz w:val="21"/>
          <w:szCs w:val="21"/>
        </w:rPr>
      </w:pPr>
      <w:r>
        <w:rPr>
          <w:rFonts w:hint="eastAsia" w:ascii="宋体" w:hAnsi="宋体" w:eastAsia="宋体"/>
          <w:color w:val="000000"/>
          <w:sz w:val="21"/>
          <w:szCs w:val="21"/>
        </w:rPr>
        <w:t>根据国务院学位委员会学位办关于培养翻译硕士专业学位研究生的通知精神</w:t>
      </w:r>
      <w:r>
        <w:rPr>
          <w:rFonts w:hint="eastAsia" w:ascii="宋体" w:hAnsi="宋体" w:eastAsia="宋体"/>
          <w:color w:val="000000"/>
          <w:sz w:val="21"/>
          <w:szCs w:val="21"/>
          <w:lang w:eastAsia="zh-CN"/>
        </w:rPr>
        <w:t>《</w:t>
      </w:r>
      <w:r>
        <w:rPr>
          <w:rFonts w:hint="eastAsia" w:ascii="宋体" w:hAnsi="宋体" w:eastAsia="宋体"/>
          <w:color w:val="000000"/>
          <w:sz w:val="21"/>
          <w:szCs w:val="21"/>
          <w:lang w:val="en-US" w:eastAsia="zh-CN"/>
        </w:rPr>
        <w:t>中华人民共和国学位法》及硕士研究生培养相关要求</w:t>
      </w:r>
      <w:r>
        <w:rPr>
          <w:rFonts w:hint="eastAsia" w:ascii="宋体" w:hAnsi="宋体" w:eastAsia="宋体"/>
          <w:color w:val="000000"/>
          <w:sz w:val="21"/>
          <w:szCs w:val="21"/>
        </w:rPr>
        <w:t>，</w:t>
      </w:r>
      <w:r>
        <w:rPr>
          <w:rFonts w:hint="eastAsia" w:ascii="宋体" w:hAnsi="宋体" w:eastAsia="宋体"/>
          <w:color w:val="000000"/>
          <w:sz w:val="21"/>
          <w:szCs w:val="21"/>
          <w:lang w:val="en-US" w:eastAsia="zh-CN"/>
        </w:rPr>
        <w:t>并参照《中国英语能力等级量表（2025版）》有关翻译能力的描述，</w:t>
      </w:r>
      <w:r>
        <w:rPr>
          <w:rFonts w:hint="eastAsia" w:ascii="宋体" w:hAnsi="宋体" w:eastAsia="宋体"/>
          <w:color w:val="000000"/>
          <w:sz w:val="21"/>
          <w:szCs w:val="21"/>
        </w:rPr>
        <w:t>北京交通大学语言与传播学院</w:t>
      </w:r>
      <w:r>
        <w:rPr>
          <w:rFonts w:hint="eastAsia" w:ascii="宋体" w:hAnsi="宋体" w:eastAsia="宋体"/>
          <w:color w:val="000000"/>
          <w:sz w:val="21"/>
          <w:szCs w:val="21"/>
          <w:lang w:val="en-US" w:eastAsia="zh-CN"/>
        </w:rPr>
        <w:t>MTI</w:t>
      </w:r>
      <w:r>
        <w:rPr>
          <w:rFonts w:hint="eastAsia" w:ascii="Calibri" w:hAnsi="Calibri" w:eastAsia="宋体"/>
          <w:color w:val="000000"/>
          <w:sz w:val="21"/>
          <w:szCs w:val="21"/>
          <w:lang w:val="en-US" w:eastAsia="zh-CN"/>
        </w:rPr>
        <w:t>教育</w:t>
      </w:r>
      <w:r>
        <w:rPr>
          <w:rFonts w:hint="eastAsia" w:ascii="宋体" w:hAnsi="宋体" w:eastAsia="宋体"/>
          <w:color w:val="000000"/>
          <w:sz w:val="21"/>
          <w:szCs w:val="21"/>
        </w:rPr>
        <w:t>中心自</w:t>
      </w:r>
      <w:r>
        <w:rPr>
          <w:rFonts w:hint="eastAsia" w:ascii="宋体" w:hAnsi="宋体" w:eastAsia="宋体"/>
          <w:color w:val="000000"/>
          <w:sz w:val="21"/>
          <w:szCs w:val="21"/>
          <w:lang w:val="en-US" w:eastAsia="zh-CN"/>
        </w:rPr>
        <w:t>2011</w:t>
      </w:r>
      <w:r>
        <w:rPr>
          <w:rFonts w:hint="eastAsia" w:ascii="宋体" w:hAnsi="宋体" w:eastAsia="宋体"/>
          <w:color w:val="000000"/>
          <w:sz w:val="21"/>
          <w:szCs w:val="21"/>
        </w:rPr>
        <w:t>年起招收翻译硕士（</w:t>
      </w:r>
      <w:r>
        <w:rPr>
          <w:rFonts w:hint="eastAsia" w:ascii="宋体" w:hAnsi="宋体" w:eastAsia="宋体"/>
          <w:color w:val="000000"/>
          <w:sz w:val="21"/>
          <w:szCs w:val="21"/>
          <w:lang w:val="en-US" w:eastAsia="zh-CN"/>
        </w:rPr>
        <w:t>MTI</w:t>
      </w:r>
      <w:r>
        <w:rPr>
          <w:rFonts w:hint="eastAsia" w:ascii="宋体" w:hAnsi="宋体" w:eastAsia="宋体"/>
          <w:color w:val="000000"/>
          <w:sz w:val="21"/>
          <w:szCs w:val="21"/>
        </w:rPr>
        <w:t>）专业学位研究生</w:t>
      </w:r>
      <w:r>
        <w:rPr>
          <w:rFonts w:hint="eastAsia" w:ascii="宋体" w:hAnsi="宋体" w:eastAsia="宋体"/>
          <w:color w:val="000000"/>
          <w:sz w:val="21"/>
          <w:szCs w:val="21"/>
          <w:lang w:eastAsia="zh-CN"/>
        </w:rPr>
        <w:t>、</w:t>
      </w:r>
      <w:r>
        <w:rPr>
          <w:rFonts w:hint="eastAsia" w:ascii="宋体" w:hAnsi="宋体" w:eastAsia="宋体"/>
          <w:color w:val="000000"/>
          <w:sz w:val="21"/>
          <w:szCs w:val="21"/>
        </w:rPr>
        <w:t>制定培养方案</w:t>
      </w:r>
      <w:r>
        <w:rPr>
          <w:rFonts w:hint="eastAsia" w:ascii="宋体" w:hAnsi="宋体" w:eastAsia="宋体"/>
          <w:color w:val="000000"/>
          <w:sz w:val="21"/>
          <w:szCs w:val="21"/>
          <w:lang w:eastAsia="zh-CN"/>
        </w:rPr>
        <w:t>，</w:t>
      </w:r>
      <w:r>
        <w:rPr>
          <w:rFonts w:hint="eastAsia" w:ascii="宋体" w:hAnsi="宋体" w:eastAsia="宋体"/>
          <w:color w:val="000000"/>
          <w:sz w:val="21"/>
          <w:szCs w:val="21"/>
          <w:lang w:val="en-US" w:eastAsia="zh-CN"/>
        </w:rPr>
        <w:t>并于2025年2月修订2020版培养方案</w:t>
      </w:r>
      <w:r>
        <w:rPr>
          <w:rFonts w:hint="eastAsia" w:ascii="宋体" w:hAnsi="宋体" w:eastAsia="宋体"/>
          <w:color w:val="000000"/>
          <w:sz w:val="21"/>
          <w:szCs w:val="21"/>
        </w:rPr>
        <w:t>。</w:t>
      </w:r>
    </w:p>
    <w:p w14:paraId="4E857C61">
      <w:pPr>
        <w:keepNext w:val="0"/>
        <w:keepLines w:val="0"/>
        <w:pageBreakBefore w:val="0"/>
        <w:widowControl w:val="0"/>
        <w:kinsoku/>
        <w:wordWrap w:val="0"/>
        <w:overflowPunct/>
        <w:topLinePunct w:val="0"/>
        <w:autoSpaceDE/>
        <w:autoSpaceDN/>
        <w:bidi w:val="0"/>
        <w:adjustRightInd w:val="0"/>
        <w:snapToGrid w:val="0"/>
        <w:spacing w:before="120" w:after="0" w:afterLines="50" w:line="360" w:lineRule="auto"/>
        <w:ind w:firstLine="23"/>
        <w:jc w:val="both"/>
        <w:textAlignment w:val="auto"/>
        <w:rPr>
          <w:b/>
          <w:bCs/>
          <w:sz w:val="28"/>
          <w:szCs w:val="28"/>
        </w:rPr>
      </w:pPr>
      <w:r>
        <w:rPr>
          <w:rFonts w:hint="eastAsia" w:ascii="宋体" w:hAnsi="宋体" w:eastAsia="宋体"/>
          <w:b/>
          <w:bCs/>
          <w:color w:val="000000"/>
          <w:sz w:val="28"/>
          <w:szCs w:val="28"/>
        </w:rPr>
        <w:t>一、学科专业及研究方向</w:t>
      </w:r>
    </w:p>
    <w:p w14:paraId="2B381730">
      <w:pPr>
        <w:keepNext w:val="0"/>
        <w:keepLines w:val="0"/>
        <w:pageBreakBefore w:val="0"/>
        <w:widowControl w:val="0"/>
        <w:kinsoku/>
        <w:wordWrap w:val="0"/>
        <w:overflowPunct/>
        <w:topLinePunct w:val="0"/>
        <w:autoSpaceDE/>
        <w:autoSpaceDN/>
        <w:bidi w:val="0"/>
        <w:adjustRightInd w:val="0"/>
        <w:snapToGrid w:val="0"/>
        <w:spacing w:before="0" w:beforeLines="50" w:after="0" w:afterLines="50" w:line="360" w:lineRule="auto"/>
        <w:ind w:right="40" w:firstLine="422" w:firstLineChars="200"/>
        <w:jc w:val="both"/>
        <w:textAlignment w:val="auto"/>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学科专业介绍：</w:t>
      </w:r>
    </w:p>
    <w:p w14:paraId="6C464425">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北京交通大学英语笔译专业硕士的研究方向为铁路技术文献翻译及其他</w:t>
      </w:r>
      <w:r>
        <w:rPr>
          <w:rFonts w:hint="eastAsia" w:ascii="宋体" w:hAnsi="宋体" w:eastAsia="宋体"/>
          <w:color w:val="000000"/>
          <w:sz w:val="21"/>
          <w:szCs w:val="21"/>
          <w:lang w:val="en-US" w:eastAsia="zh-CN"/>
        </w:rPr>
        <w:t>文本</w:t>
      </w:r>
      <w:r>
        <w:rPr>
          <w:rFonts w:hint="eastAsia" w:ascii="宋体" w:hAnsi="宋体" w:eastAsia="宋体"/>
          <w:color w:val="000000"/>
          <w:sz w:val="21"/>
          <w:szCs w:val="21"/>
        </w:rPr>
        <w:t>类型的笔译。铁路技术文献翻译方向培养学生的铁路技术翻译实际能力和对外经济合作交流能力, 其他方向的笔译包括：中国古典文化英译研究、中医文化英译研究、中国马克思主义英译研究、经贸翻译研究、文学翻译研究、教育类文本翻译研究等。英语笔译专业硕士学位点兼顾翻译理论素质和跨文化交际技能等方面的培养, 采用课程研讨、模拟、校企联合培养基地等多种形式</w:t>
      </w:r>
      <w:r>
        <w:rPr>
          <w:rFonts w:hint="eastAsia" w:ascii="宋体" w:hAnsi="宋体" w:eastAsia="宋体"/>
          <w:color w:val="000000"/>
          <w:sz w:val="21"/>
          <w:szCs w:val="21"/>
          <w:lang w:eastAsia="zh-CN"/>
        </w:rPr>
        <w:t>，</w:t>
      </w:r>
      <w:r>
        <w:rPr>
          <w:rFonts w:hint="eastAsia" w:ascii="宋体" w:hAnsi="宋体" w:eastAsia="宋体"/>
          <w:color w:val="000000"/>
          <w:sz w:val="21"/>
          <w:szCs w:val="21"/>
        </w:rPr>
        <w:t>不断</w:t>
      </w:r>
      <w:r>
        <w:rPr>
          <w:rFonts w:hint="eastAsia" w:ascii="宋体" w:hAnsi="宋体" w:eastAsia="宋体"/>
          <w:color w:val="000000"/>
          <w:sz w:val="21"/>
          <w:szCs w:val="21"/>
          <w:lang w:val="en-US" w:eastAsia="zh-CN"/>
        </w:rPr>
        <w:t>扩大</w:t>
      </w:r>
      <w:r>
        <w:rPr>
          <w:rFonts w:hint="eastAsia" w:ascii="宋体" w:hAnsi="宋体" w:eastAsia="宋体"/>
          <w:color w:val="000000"/>
          <w:sz w:val="21"/>
          <w:szCs w:val="21"/>
        </w:rPr>
        <w:t>学生的</w:t>
      </w:r>
      <w:r>
        <w:rPr>
          <w:rFonts w:hint="eastAsia" w:ascii="宋体" w:hAnsi="宋体" w:eastAsia="宋体"/>
          <w:color w:val="000000"/>
          <w:sz w:val="21"/>
          <w:szCs w:val="21"/>
          <w:lang w:val="en-US" w:eastAsia="zh-CN"/>
        </w:rPr>
        <w:t>笔译知识（笔译理论知识、笔译实践知识、笔译行业知识）、提升学生的笔译能力（翻译书面描述、翻译书面叙述、翻译书面说明、翻译书面指示、翻译书面论述、翻译书面互动）、</w:t>
      </w:r>
      <w:r>
        <w:rPr>
          <w:rFonts w:hint="eastAsia" w:ascii="宋体" w:hAnsi="宋体" w:eastAsia="宋体"/>
          <w:color w:val="000000"/>
          <w:sz w:val="21"/>
          <w:szCs w:val="21"/>
        </w:rPr>
        <w:t>语言运用能力和翻译技能，使他们能够胜任不同专业领域的</w:t>
      </w:r>
      <w:r>
        <w:rPr>
          <w:rFonts w:hint="eastAsia" w:ascii="宋体" w:hAnsi="宋体" w:eastAsia="宋体"/>
          <w:color w:val="000000"/>
          <w:sz w:val="21"/>
          <w:szCs w:val="21"/>
          <w:lang w:val="en-US" w:eastAsia="zh-CN"/>
        </w:rPr>
        <w:t>高端</w:t>
      </w:r>
      <w:r>
        <w:rPr>
          <w:rFonts w:hint="eastAsia" w:ascii="宋体" w:hAnsi="宋体" w:eastAsia="宋体"/>
          <w:color w:val="000000"/>
          <w:sz w:val="21"/>
          <w:szCs w:val="21"/>
        </w:rPr>
        <w:t>翻译工作, 以满足中国铁路海外发展战略和中国文化对外输出等“讲好中国故事”对</w:t>
      </w:r>
      <w:r>
        <w:rPr>
          <w:rFonts w:hint="eastAsia" w:ascii="宋体" w:hAnsi="宋体" w:eastAsia="宋体"/>
          <w:color w:val="000000"/>
          <w:sz w:val="21"/>
          <w:szCs w:val="21"/>
          <w:lang w:val="en-US" w:eastAsia="zh-CN"/>
        </w:rPr>
        <w:t>英汉-汉英</w:t>
      </w:r>
      <w:r>
        <w:rPr>
          <w:rFonts w:hint="eastAsia" w:ascii="宋体" w:hAnsi="宋体" w:eastAsia="宋体"/>
          <w:color w:val="000000"/>
          <w:sz w:val="21"/>
          <w:szCs w:val="21"/>
        </w:rPr>
        <w:t>翻译人才的需求。</w:t>
      </w:r>
    </w:p>
    <w:p w14:paraId="26B9F59F">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学位点拥有高水平的教师团队，阵容强大。</w:t>
      </w:r>
      <w:r>
        <w:rPr>
          <w:rFonts w:hint="eastAsia" w:ascii="宋体" w:hAnsi="宋体" w:eastAsia="宋体"/>
          <w:color w:val="000000"/>
          <w:sz w:val="21"/>
          <w:szCs w:val="21"/>
          <w:lang w:val="en-US" w:eastAsia="zh-CN"/>
        </w:rPr>
        <w:t>共有</w:t>
      </w:r>
      <w:r>
        <w:rPr>
          <w:rFonts w:hint="eastAsia" w:ascii="宋体" w:hAnsi="宋体" w:eastAsia="宋体"/>
          <w:color w:val="000000"/>
          <w:sz w:val="21"/>
          <w:szCs w:val="21"/>
        </w:rPr>
        <w:t>2</w:t>
      </w:r>
      <w:r>
        <w:rPr>
          <w:rFonts w:hint="eastAsia" w:ascii="宋体" w:hAnsi="宋体" w:eastAsia="宋体"/>
          <w:color w:val="000000"/>
          <w:sz w:val="21"/>
          <w:szCs w:val="21"/>
          <w:lang w:val="en-US" w:eastAsia="zh-CN"/>
        </w:rPr>
        <w:t>7</w:t>
      </w:r>
      <w:r>
        <w:rPr>
          <w:rFonts w:hint="eastAsia" w:ascii="宋体" w:hAnsi="宋体" w:eastAsia="宋体"/>
          <w:color w:val="000000"/>
          <w:sz w:val="21"/>
          <w:szCs w:val="21"/>
        </w:rPr>
        <w:t>位专任教师，</w:t>
      </w:r>
      <w:r>
        <w:rPr>
          <w:rFonts w:hint="eastAsia" w:ascii="宋体" w:hAnsi="宋体" w:eastAsia="宋体"/>
          <w:color w:val="000000"/>
          <w:sz w:val="21"/>
          <w:szCs w:val="21"/>
          <w:lang w:val="en-US" w:eastAsia="zh-CN"/>
        </w:rPr>
        <w:t>其中</w:t>
      </w:r>
      <w:r>
        <w:rPr>
          <w:rFonts w:hint="eastAsia" w:ascii="宋体" w:hAnsi="宋体" w:eastAsia="宋体"/>
          <w:color w:val="000000"/>
          <w:sz w:val="21"/>
          <w:szCs w:val="21"/>
        </w:rPr>
        <w:t>教授1</w:t>
      </w:r>
      <w:r>
        <w:rPr>
          <w:rFonts w:hint="eastAsia" w:ascii="宋体" w:hAnsi="宋体" w:eastAsia="宋体"/>
          <w:color w:val="000000"/>
          <w:sz w:val="21"/>
          <w:szCs w:val="21"/>
          <w:lang w:val="en-US" w:eastAsia="zh-CN"/>
        </w:rPr>
        <w:t>1</w:t>
      </w:r>
      <w:r>
        <w:rPr>
          <w:rFonts w:hint="eastAsia" w:ascii="宋体" w:hAnsi="宋体" w:eastAsia="宋体"/>
          <w:color w:val="000000"/>
          <w:sz w:val="21"/>
          <w:szCs w:val="21"/>
        </w:rPr>
        <w:t>位，副教授1</w:t>
      </w:r>
      <w:r>
        <w:rPr>
          <w:rFonts w:hint="eastAsia" w:ascii="宋体" w:hAnsi="宋体" w:eastAsia="宋体"/>
          <w:color w:val="000000"/>
          <w:sz w:val="21"/>
          <w:szCs w:val="21"/>
          <w:lang w:val="en-US" w:eastAsia="zh-CN"/>
        </w:rPr>
        <w:t>4</w:t>
      </w:r>
      <w:r>
        <w:rPr>
          <w:rFonts w:hint="eastAsia" w:ascii="宋体" w:hAnsi="宋体" w:eastAsia="宋体"/>
          <w:color w:val="000000"/>
          <w:sz w:val="21"/>
          <w:szCs w:val="21"/>
        </w:rPr>
        <w:t>位，讲师2位</w:t>
      </w:r>
      <w:r>
        <w:rPr>
          <w:rFonts w:hint="eastAsia" w:ascii="宋体" w:hAnsi="宋体" w:eastAsia="宋体"/>
          <w:color w:val="000000"/>
          <w:sz w:val="21"/>
          <w:szCs w:val="21"/>
          <w:lang w:eastAsia="zh-CN"/>
        </w:rPr>
        <w:t>，</w:t>
      </w:r>
      <w:r>
        <w:rPr>
          <w:rFonts w:hint="eastAsia" w:ascii="宋体" w:hAnsi="宋体" w:eastAsia="宋体"/>
          <w:color w:val="000000"/>
          <w:sz w:val="21"/>
          <w:szCs w:val="21"/>
        </w:rPr>
        <w:t>85%以上的老师具有笔译经验。此外每位专任教师均具备主讲2门以上的翻译硕士专业学位课程</w:t>
      </w:r>
      <w:r>
        <w:rPr>
          <w:rFonts w:hint="eastAsia" w:ascii="宋体" w:hAnsi="宋体" w:eastAsia="宋体"/>
          <w:color w:val="000000"/>
          <w:sz w:val="21"/>
          <w:szCs w:val="21"/>
          <w:lang w:val="en-US" w:eastAsia="zh-CN"/>
        </w:rPr>
        <w:t>的经历</w:t>
      </w:r>
      <w:r>
        <w:rPr>
          <w:rFonts w:hint="eastAsia" w:ascii="宋体" w:hAnsi="宋体" w:eastAsia="宋体"/>
          <w:color w:val="000000"/>
          <w:sz w:val="21"/>
          <w:szCs w:val="21"/>
        </w:rPr>
        <w:t>。5年来，共有7位教师参加过MTI教指委或国内外其他专业学术机构组织的师资培训。专任教师和兼职教师的年龄、学历、学位、职称、专业方向分布合理。在国内外学术期刊上发表论文数百篇，出版专著或者译著20部，承担与翻译相关的省部级课题、横向课题和校内课题16项，内容涉及科技、金融、教育、旅游、文学等领域, 授课教师均具有丰富的笔译或口译经验。兼职</w:t>
      </w:r>
      <w:r>
        <w:rPr>
          <w:rFonts w:hint="eastAsia" w:ascii="宋体" w:hAnsi="宋体" w:eastAsia="宋体"/>
          <w:color w:val="000000"/>
          <w:sz w:val="21"/>
          <w:szCs w:val="21"/>
          <w:lang w:val="en-US" w:eastAsia="zh-CN"/>
        </w:rPr>
        <w:t>行业</w:t>
      </w:r>
      <w:r>
        <w:rPr>
          <w:rFonts w:hint="eastAsia" w:ascii="宋体" w:hAnsi="宋体" w:eastAsia="宋体"/>
          <w:color w:val="000000"/>
          <w:sz w:val="21"/>
          <w:szCs w:val="21"/>
        </w:rPr>
        <w:t>导师</w:t>
      </w:r>
      <w:r>
        <w:rPr>
          <w:rFonts w:hint="eastAsia" w:ascii="宋体" w:hAnsi="宋体" w:eastAsia="宋体"/>
          <w:color w:val="000000"/>
          <w:sz w:val="21"/>
          <w:szCs w:val="21"/>
          <w:lang w:val="en-US" w:eastAsia="zh-CN"/>
        </w:rPr>
        <w:t>9位，他们来自国内外知名企业，具有丰富的翻译项目管理经验和翻译技术的实践经验。10位兼职校外导师有8位获有博士学位，4位具</w:t>
      </w:r>
      <w:r>
        <w:rPr>
          <w:rFonts w:hint="eastAsia" w:ascii="宋体" w:hAnsi="宋体" w:eastAsia="宋体"/>
          <w:color w:val="000000"/>
          <w:sz w:val="21"/>
          <w:szCs w:val="21"/>
        </w:rPr>
        <w:t>有正高</w:t>
      </w:r>
      <w:r>
        <w:rPr>
          <w:rFonts w:hint="eastAsia" w:ascii="宋体" w:hAnsi="宋体" w:eastAsia="宋体"/>
          <w:color w:val="000000"/>
          <w:sz w:val="21"/>
          <w:szCs w:val="21"/>
          <w:lang w:val="en-US" w:eastAsia="zh-CN"/>
        </w:rPr>
        <w:t>级</w:t>
      </w:r>
      <w:r>
        <w:rPr>
          <w:rFonts w:hint="eastAsia" w:ascii="宋体" w:hAnsi="宋体" w:eastAsia="宋体"/>
          <w:color w:val="000000"/>
          <w:sz w:val="21"/>
          <w:szCs w:val="21"/>
        </w:rPr>
        <w:t>职称</w:t>
      </w:r>
      <w:r>
        <w:rPr>
          <w:rFonts w:hint="eastAsia" w:ascii="宋体" w:hAnsi="宋体" w:eastAsia="宋体"/>
          <w:color w:val="000000"/>
          <w:sz w:val="21"/>
          <w:szCs w:val="21"/>
          <w:lang w:eastAsia="zh-CN"/>
        </w:rPr>
        <w:t>，</w:t>
      </w:r>
      <w:r>
        <w:rPr>
          <w:rFonts w:hint="eastAsia" w:ascii="宋体" w:hAnsi="宋体" w:eastAsia="宋体"/>
          <w:color w:val="000000"/>
          <w:sz w:val="21"/>
          <w:szCs w:val="21"/>
          <w:lang w:val="en-US" w:eastAsia="zh-CN"/>
        </w:rPr>
        <w:t>5位具有</w:t>
      </w:r>
      <w:r>
        <w:rPr>
          <w:rFonts w:hint="eastAsia" w:ascii="宋体" w:hAnsi="宋体" w:eastAsia="宋体"/>
          <w:color w:val="000000"/>
          <w:sz w:val="21"/>
          <w:szCs w:val="21"/>
        </w:rPr>
        <w:t>副高</w:t>
      </w:r>
      <w:r>
        <w:rPr>
          <w:rFonts w:hint="eastAsia" w:ascii="宋体" w:hAnsi="宋体" w:eastAsia="宋体"/>
          <w:color w:val="000000"/>
          <w:sz w:val="21"/>
          <w:szCs w:val="21"/>
          <w:lang w:val="en-US" w:eastAsia="zh-CN"/>
        </w:rPr>
        <w:t>级</w:t>
      </w:r>
      <w:r>
        <w:rPr>
          <w:rFonts w:hint="eastAsia" w:ascii="宋体" w:hAnsi="宋体" w:eastAsia="宋体"/>
          <w:color w:val="000000"/>
          <w:sz w:val="21"/>
          <w:szCs w:val="21"/>
        </w:rPr>
        <w:t>职称。兼职</w:t>
      </w:r>
      <w:r>
        <w:rPr>
          <w:rFonts w:hint="eastAsia" w:ascii="宋体" w:hAnsi="宋体" w:eastAsia="宋体"/>
          <w:color w:val="000000"/>
          <w:sz w:val="21"/>
          <w:szCs w:val="21"/>
          <w:lang w:val="en-US" w:eastAsia="zh-CN"/>
        </w:rPr>
        <w:t>行业导师和校外导师主要</w:t>
      </w:r>
      <w:r>
        <w:rPr>
          <w:rFonts w:hint="eastAsia" w:ascii="宋体" w:hAnsi="宋体" w:eastAsia="宋体"/>
          <w:color w:val="000000"/>
          <w:sz w:val="21"/>
          <w:szCs w:val="21"/>
        </w:rPr>
        <w:t>采取来本校做系列讲座的方式</w:t>
      </w:r>
      <w:r>
        <w:rPr>
          <w:rFonts w:hint="eastAsia" w:ascii="宋体" w:hAnsi="宋体" w:eastAsia="宋体"/>
          <w:color w:val="000000"/>
          <w:sz w:val="21"/>
          <w:szCs w:val="21"/>
          <w:lang w:val="en-US" w:eastAsia="zh-CN"/>
        </w:rPr>
        <w:t>指导学生</w:t>
      </w:r>
      <w:r>
        <w:rPr>
          <w:rFonts w:hint="eastAsia" w:ascii="宋体" w:hAnsi="宋体" w:eastAsia="宋体"/>
          <w:color w:val="000000"/>
          <w:sz w:val="21"/>
          <w:szCs w:val="21"/>
        </w:rPr>
        <w:t>，</w:t>
      </w:r>
      <w:r>
        <w:rPr>
          <w:rFonts w:hint="eastAsia" w:ascii="宋体" w:hAnsi="宋体" w:eastAsia="宋体"/>
          <w:color w:val="000000"/>
          <w:sz w:val="21"/>
          <w:szCs w:val="21"/>
          <w:lang w:val="en-US" w:eastAsia="zh-CN"/>
        </w:rPr>
        <w:t>并</w:t>
      </w:r>
      <w:r>
        <w:rPr>
          <w:rFonts w:hint="eastAsia" w:ascii="宋体" w:hAnsi="宋体" w:eastAsia="宋体"/>
          <w:color w:val="000000"/>
          <w:sz w:val="21"/>
          <w:szCs w:val="21"/>
        </w:rPr>
        <w:t>参与到本专业的学生培养工作中，每年系列讲座超过10学时。</w:t>
      </w:r>
    </w:p>
    <w:p w14:paraId="3902CD2A">
      <w:pPr>
        <w:keepNext w:val="0"/>
        <w:keepLines w:val="0"/>
        <w:pageBreakBefore w:val="0"/>
        <w:widowControl w:val="0"/>
        <w:kinsoku/>
        <w:wordWrap w:val="0"/>
        <w:overflowPunct/>
        <w:topLinePunct w:val="0"/>
        <w:autoSpaceDE/>
        <w:autoSpaceDN/>
        <w:bidi w:val="0"/>
        <w:adjustRightInd w:val="0"/>
        <w:snapToGrid w:val="0"/>
        <w:spacing w:before="0" w:beforeLines="50" w:after="0" w:afterLines="50" w:line="360" w:lineRule="auto"/>
        <w:ind w:firstLine="422" w:firstLineChars="200"/>
        <w:jc w:val="both"/>
        <w:textAlignment w:val="auto"/>
        <w:rPr>
          <w:b/>
          <w:bCs/>
          <w:sz w:val="21"/>
          <w:szCs w:val="21"/>
        </w:rPr>
      </w:pPr>
      <w:r>
        <w:rPr>
          <w:rFonts w:hint="eastAsia" w:ascii="宋体" w:hAnsi="宋体" w:eastAsia="宋体"/>
          <w:b/>
          <w:bCs/>
          <w:color w:val="000000"/>
          <w:sz w:val="21"/>
          <w:szCs w:val="21"/>
        </w:rPr>
        <w:t>主要研究方向及其内容：</w:t>
      </w:r>
    </w:p>
    <w:p w14:paraId="2E999DB9">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（1）翻译硕士的培养主要以笔译为主，充分利用本校在铁路运输尤其是高铁等新型学科的教学和科研资源，走翻译硕士培养与上述专业相结合的道路。</w:t>
      </w:r>
    </w:p>
    <w:p w14:paraId="439C01F0">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2）重点培养学生的技术翻译实际能力和对外经济合作交流能力，兼顾翻译理论素质和跨文化交际技能等方面的培养，采用课程研讨、模拟、与实习基地联合培养等多种形式，不断提高学生的语言运用能力和翻译技能使他们能够胜任不同专业领域尤其是铁路运输和高铁等领域的高级翻译工作，以满足中国铁路海外发展战略对此类翻译人才的需求。</w:t>
      </w:r>
    </w:p>
    <w:p w14:paraId="00B2F506">
      <w:pPr>
        <w:keepNext w:val="0"/>
        <w:keepLines w:val="0"/>
        <w:pageBreakBefore w:val="0"/>
        <w:widowControl w:val="0"/>
        <w:kinsoku/>
        <w:wordWrap w:val="0"/>
        <w:overflowPunct/>
        <w:topLinePunct w:val="0"/>
        <w:autoSpaceDE/>
        <w:autoSpaceDN/>
        <w:bidi w:val="0"/>
        <w:adjustRightInd w:val="0"/>
        <w:snapToGrid w:val="0"/>
        <w:spacing w:before="120" w:after="0" w:afterLines="50" w:line="360" w:lineRule="auto"/>
        <w:ind w:firstLine="40"/>
        <w:jc w:val="both"/>
        <w:textAlignment w:val="auto"/>
        <w:rPr>
          <w:rFonts w:hint="eastAsia" w:ascii="宋体" w:hAnsi="宋体" w:eastAsia="宋体"/>
          <w:color w:val="000000"/>
          <w:sz w:val="28"/>
          <w:szCs w:val="28"/>
        </w:rPr>
      </w:pPr>
      <w:r>
        <w:rPr>
          <w:rFonts w:hint="eastAsia" w:ascii="宋体" w:hAnsi="宋体" w:eastAsia="宋体"/>
          <w:b/>
          <w:color w:val="000000"/>
          <w:sz w:val="28"/>
          <w:szCs w:val="28"/>
        </w:rPr>
        <w:t>二、培养目标</w:t>
      </w:r>
    </w:p>
    <w:p w14:paraId="1EFE5447">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以习近平新时代中国特色社会主义思想为指导，面向行业产业发展需要，培养具有社会主义核心价值观，健全的人格和健康的身心，较强的社会责任感，具备扎实系统专业基础和职业素养、较强实践能力、德智体美劳全面发展的实践创新型人才。</w:t>
      </w:r>
      <w:r>
        <w:rPr>
          <w:rFonts w:hint="eastAsia" w:ascii="宋体" w:hAnsi="宋体" w:eastAsia="宋体"/>
          <w:color w:val="000000"/>
          <w:sz w:val="21"/>
          <w:szCs w:val="21"/>
          <w:lang w:val="en-US" w:eastAsia="zh-CN"/>
        </w:rPr>
        <w:t>并将</w:t>
      </w:r>
      <w:r>
        <w:rPr>
          <w:rFonts w:hint="eastAsia" w:ascii="宋体" w:hAnsi="宋体" w:eastAsia="宋体"/>
          <w:color w:val="000000"/>
          <w:sz w:val="21"/>
          <w:szCs w:val="21"/>
        </w:rPr>
        <w:t>根据国务院学位办有关MTI专业学位培养方案的要求，根据北京交通大学的学科优势，通过对学生进行系统的教育与训练，使其掌握扎实的专业技能，</w:t>
      </w:r>
      <w:r>
        <w:rPr>
          <w:rFonts w:hint="eastAsia" w:ascii="宋体" w:hAnsi="宋体" w:eastAsia="宋体"/>
          <w:color w:val="000000"/>
          <w:sz w:val="21"/>
          <w:szCs w:val="21"/>
          <w:lang w:val="en-US" w:eastAsia="zh-CN"/>
        </w:rPr>
        <w:t>能够熟练运用铁路技术类文献的翻译方法和技巧，</w:t>
      </w:r>
      <w:r>
        <w:rPr>
          <w:rFonts w:hint="eastAsia" w:ascii="宋体" w:hAnsi="宋体" w:eastAsia="宋体"/>
          <w:color w:val="000000"/>
          <w:sz w:val="21"/>
          <w:szCs w:val="21"/>
        </w:rPr>
        <w:t>获得丰富的行业经验，</w:t>
      </w:r>
      <w:r>
        <w:rPr>
          <w:rFonts w:hint="eastAsia" w:ascii="宋体" w:hAnsi="宋体" w:eastAsia="宋体"/>
          <w:color w:val="000000"/>
          <w:sz w:val="21"/>
          <w:szCs w:val="21"/>
          <w:lang w:val="en-US" w:eastAsia="zh-CN"/>
        </w:rPr>
        <w:t>并促使其具备使用人工智能技术、翻译本地化和讲好中国故事的能力，时期具有国际视野、跨文化交际的能力，</w:t>
      </w:r>
      <w:r>
        <w:rPr>
          <w:rFonts w:hint="eastAsia" w:ascii="宋体" w:hAnsi="宋体" w:eastAsia="宋体"/>
          <w:color w:val="000000"/>
          <w:sz w:val="21"/>
          <w:szCs w:val="21"/>
        </w:rPr>
        <w:t>成为符合</w:t>
      </w:r>
      <w:r>
        <w:rPr>
          <w:rFonts w:hint="eastAsia" w:ascii="宋体" w:hAnsi="宋体" w:eastAsia="宋体"/>
          <w:color w:val="000000"/>
          <w:sz w:val="21"/>
          <w:szCs w:val="21"/>
          <w:lang w:val="en-US" w:eastAsia="zh-CN"/>
        </w:rPr>
        <w:t>我国铁路建设、海外工程、国际贸易金融以及其他领域的发展</w:t>
      </w:r>
      <w:r>
        <w:rPr>
          <w:rFonts w:hint="eastAsia" w:ascii="宋体" w:hAnsi="宋体" w:eastAsia="宋体"/>
          <w:color w:val="000000"/>
          <w:sz w:val="21"/>
          <w:szCs w:val="21"/>
        </w:rPr>
        <w:t>需要，符合国家翻译专业资格认证标准的应用型、复合型高级翻译人才。</w:t>
      </w:r>
    </w:p>
    <w:p w14:paraId="192913F4">
      <w:pPr>
        <w:keepNext w:val="0"/>
        <w:keepLines w:val="0"/>
        <w:pageBreakBefore w:val="0"/>
        <w:widowControl w:val="0"/>
        <w:kinsoku/>
        <w:wordWrap w:val="0"/>
        <w:overflowPunct/>
        <w:topLinePunct w:val="0"/>
        <w:autoSpaceDE/>
        <w:autoSpaceDN/>
        <w:bidi w:val="0"/>
        <w:adjustRightInd w:val="0"/>
        <w:snapToGrid w:val="0"/>
        <w:spacing w:before="120" w:after="0" w:afterLines="50" w:line="360" w:lineRule="auto"/>
        <w:ind w:firstLine="23"/>
        <w:jc w:val="both"/>
        <w:textAlignment w:val="auto"/>
        <w:rPr>
          <w:b/>
          <w:bCs/>
          <w:sz w:val="28"/>
          <w:szCs w:val="28"/>
        </w:rPr>
      </w:pPr>
      <w:r>
        <w:rPr>
          <w:rFonts w:hint="eastAsia" w:ascii="宋体" w:hAnsi="宋体" w:eastAsia="宋体"/>
          <w:b/>
          <w:bCs/>
          <w:color w:val="000000"/>
          <w:sz w:val="28"/>
          <w:szCs w:val="28"/>
        </w:rPr>
        <w:t>三、培养方式及学习年限</w:t>
      </w:r>
    </w:p>
    <w:p w14:paraId="3DD2BBB7">
      <w:pPr>
        <w:wordWrap w:val="0"/>
        <w:spacing w:before="70" w:line="384" w:lineRule="auto"/>
        <w:ind w:left="40" w:right="60" w:firstLine="420"/>
        <w:jc w:val="both"/>
        <w:rPr>
          <w:rFonts w:hint="eastAsia" w:ascii="宋体" w:hAnsi="宋体" w:eastAsia="宋体"/>
          <w:b/>
          <w:bCs/>
          <w:color w:val="000000"/>
          <w:sz w:val="21"/>
          <w:szCs w:val="21"/>
        </w:rPr>
      </w:pPr>
      <w:r>
        <w:rPr>
          <w:rFonts w:hint="eastAsia" w:ascii="宋体" w:hAnsi="宋体" w:eastAsia="宋体"/>
          <w:b/>
          <w:bCs/>
          <w:color w:val="000000"/>
          <w:sz w:val="21"/>
          <w:szCs w:val="21"/>
        </w:rPr>
        <w:t>1、招生对象及入学考试方法</w:t>
      </w:r>
    </w:p>
    <w:p w14:paraId="5F9E62D6">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rPr>
        <w:t>招生对象为学士学位获得者，具有良好的</w:t>
      </w:r>
      <w:r>
        <w:rPr>
          <w:rFonts w:hint="eastAsia" w:ascii="宋体" w:hAnsi="宋体" w:eastAsia="宋体"/>
          <w:color w:val="000000"/>
          <w:sz w:val="21"/>
          <w:szCs w:val="21"/>
          <w:lang w:val="en-US" w:eastAsia="zh-CN"/>
        </w:rPr>
        <w:t>英汉</w:t>
      </w:r>
      <w:r>
        <w:rPr>
          <w:rFonts w:hint="eastAsia" w:ascii="宋体" w:hAnsi="宋体" w:eastAsia="宋体"/>
          <w:color w:val="000000"/>
          <w:sz w:val="21"/>
          <w:szCs w:val="21"/>
        </w:rPr>
        <w:t>双语基础，有口笔译实践经验者优先考虑：鼓励具有不同学科和专业背景的生源报考。</w:t>
      </w:r>
    </w:p>
    <w:p w14:paraId="79DAB6D1">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color w:val="000000"/>
          <w:sz w:val="21"/>
          <w:szCs w:val="21"/>
          <w:lang w:val="en-US" w:eastAsia="zh-CN"/>
        </w:rPr>
        <w:t>学生的入学考试为</w:t>
      </w:r>
      <w:r>
        <w:rPr>
          <w:rFonts w:hint="eastAsia" w:ascii="宋体" w:hAnsi="宋体" w:eastAsia="宋体"/>
          <w:color w:val="000000"/>
          <w:sz w:val="21"/>
          <w:szCs w:val="21"/>
        </w:rPr>
        <w:t>参加全国统一组织的统考及招生单位自行组织的专业复试，结合</w:t>
      </w:r>
      <w:r>
        <w:rPr>
          <w:rFonts w:hint="eastAsia" w:ascii="宋体" w:hAnsi="宋体" w:eastAsia="宋体"/>
          <w:color w:val="000000"/>
          <w:sz w:val="21"/>
          <w:szCs w:val="21"/>
          <w:lang w:val="en-US" w:eastAsia="zh-CN"/>
        </w:rPr>
        <w:t>翻译实践能力和其他与翻译相关的综合素质</w:t>
      </w:r>
      <w:r>
        <w:rPr>
          <w:rFonts w:hint="eastAsia" w:ascii="宋体" w:hAnsi="宋体" w:eastAsia="宋体"/>
          <w:color w:val="000000"/>
          <w:sz w:val="21"/>
          <w:szCs w:val="21"/>
        </w:rPr>
        <w:t>择优录取。</w:t>
      </w:r>
    </w:p>
    <w:p w14:paraId="00DCDB05">
      <w:pPr>
        <w:wordWrap w:val="0"/>
        <w:spacing w:before="70" w:line="384" w:lineRule="auto"/>
        <w:ind w:left="40" w:right="60" w:firstLine="420"/>
        <w:jc w:val="both"/>
        <w:rPr>
          <w:rFonts w:hint="eastAsia" w:ascii="宋体" w:hAnsi="宋体" w:eastAsia="宋体"/>
          <w:b/>
          <w:bCs/>
          <w:color w:val="000000"/>
          <w:sz w:val="21"/>
          <w:szCs w:val="21"/>
        </w:rPr>
      </w:pPr>
      <w:r>
        <w:rPr>
          <w:rFonts w:hint="eastAsia" w:ascii="宋体" w:hAnsi="宋体" w:eastAsia="宋体"/>
          <w:b/>
          <w:bCs/>
          <w:color w:val="000000"/>
          <w:sz w:val="21"/>
          <w:szCs w:val="21"/>
        </w:rPr>
        <w:t>2、培养方式</w:t>
      </w:r>
    </w:p>
    <w:p w14:paraId="3D95DA6C">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b/>
          <w:bCs/>
          <w:color w:val="000000"/>
          <w:sz w:val="21"/>
          <w:szCs w:val="21"/>
        </w:rPr>
        <w:t>（1）实行学分制。</w:t>
      </w:r>
      <w:r>
        <w:rPr>
          <w:rFonts w:hint="eastAsia" w:ascii="宋体" w:hAnsi="宋体" w:eastAsia="宋体"/>
          <w:color w:val="000000"/>
          <w:sz w:val="21"/>
          <w:szCs w:val="21"/>
        </w:rPr>
        <w:t>学生必须通过规定课程的考试，成绩合格方能取得该门课程的学分，修满规定的学分方能撰写学位论文</w:t>
      </w:r>
      <w:r>
        <w:rPr>
          <w:rFonts w:hint="eastAsia" w:ascii="宋体" w:hAnsi="宋体" w:eastAsia="宋体"/>
          <w:color w:val="000000"/>
          <w:sz w:val="21"/>
          <w:szCs w:val="21"/>
          <w:lang w:val="en-US" w:eastAsia="zh-CN"/>
        </w:rPr>
        <w:t>或者进行翻译实践</w:t>
      </w:r>
      <w:r>
        <w:rPr>
          <w:rFonts w:hint="eastAsia" w:ascii="宋体" w:hAnsi="宋体" w:eastAsia="宋体"/>
          <w:color w:val="000000"/>
          <w:sz w:val="21"/>
          <w:szCs w:val="21"/>
        </w:rPr>
        <w:t>：学位论文经答辩通过可按学位申请程序申请翻译硕士专业学位</w:t>
      </w:r>
      <w:r>
        <w:rPr>
          <w:rFonts w:hint="eastAsia" w:ascii="宋体" w:hAnsi="宋体" w:eastAsia="宋体"/>
          <w:color w:val="000000"/>
          <w:sz w:val="21"/>
          <w:szCs w:val="21"/>
          <w:lang w:eastAsia="zh-CN"/>
        </w:rPr>
        <w:t>；</w:t>
      </w:r>
      <w:r>
        <w:rPr>
          <w:rFonts w:hint="eastAsia" w:ascii="宋体" w:hAnsi="宋体" w:eastAsia="宋体"/>
          <w:color w:val="000000"/>
          <w:sz w:val="21"/>
          <w:szCs w:val="21"/>
          <w:lang w:val="en-US" w:eastAsia="zh-CN"/>
        </w:rPr>
        <w:t>实施翻译实践的学生可以提交已经出版的翻译实践可按学位申请程序申请翻译硕士专业学位</w:t>
      </w:r>
      <w:r>
        <w:rPr>
          <w:rFonts w:hint="eastAsia" w:ascii="宋体" w:hAnsi="宋体" w:eastAsia="宋体"/>
          <w:color w:val="000000"/>
          <w:sz w:val="21"/>
          <w:szCs w:val="21"/>
        </w:rPr>
        <w:t>。</w:t>
      </w:r>
    </w:p>
    <w:p w14:paraId="3398756F">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b/>
          <w:bCs/>
          <w:color w:val="000000"/>
          <w:sz w:val="21"/>
          <w:szCs w:val="21"/>
        </w:rPr>
        <w:t>（2）采用研讨会形式、运用现代信息技术如翻译实验室、多媒体教室等设备，聘请有实践经验的专业教师或译员为学生上课或开设讲座。</w:t>
      </w:r>
      <w:r>
        <w:rPr>
          <w:rFonts w:hint="eastAsia" w:ascii="宋体" w:hAnsi="宋体" w:eastAsia="宋体"/>
          <w:color w:val="000000"/>
          <w:sz w:val="21"/>
          <w:szCs w:val="21"/>
        </w:rPr>
        <w:t>采用项目翻译的方式授课，即教学单位承接各类文体的翻译任务，学生课后翻译，教师课堂讲评，加强翻译技能的训练。</w:t>
      </w:r>
    </w:p>
    <w:p w14:paraId="5C9AAB43">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b/>
          <w:bCs/>
          <w:color w:val="000000"/>
          <w:sz w:val="21"/>
          <w:szCs w:val="21"/>
        </w:rPr>
        <w:t>（3）重视实践环节。</w:t>
      </w:r>
      <w:r>
        <w:rPr>
          <w:rFonts w:hint="eastAsia" w:ascii="宋体" w:hAnsi="宋体" w:eastAsia="宋体"/>
          <w:color w:val="000000"/>
          <w:sz w:val="21"/>
          <w:szCs w:val="21"/>
        </w:rPr>
        <w:t>强调翻译实践能力的培养和翻译案例的分析，翻译实践贯穿教学全过程，要求学生至少有15万字以上的笔译实践。</w:t>
      </w:r>
    </w:p>
    <w:p w14:paraId="5AD7E5C4">
      <w:pPr>
        <w:wordWrap w:val="0"/>
        <w:spacing w:before="70" w:line="384" w:lineRule="auto"/>
        <w:ind w:left="40" w:right="60" w:firstLine="420"/>
        <w:jc w:val="both"/>
        <w:rPr>
          <w:rFonts w:hint="eastAsia" w:ascii="宋体" w:hAnsi="宋体" w:eastAsia="宋体"/>
          <w:color w:val="000000"/>
          <w:sz w:val="21"/>
          <w:szCs w:val="21"/>
        </w:rPr>
      </w:pPr>
      <w:r>
        <w:rPr>
          <w:rFonts w:hint="eastAsia" w:ascii="宋体" w:hAnsi="宋体" w:eastAsia="宋体"/>
          <w:b/>
          <w:bCs/>
          <w:color w:val="000000"/>
          <w:sz w:val="21"/>
          <w:szCs w:val="21"/>
        </w:rPr>
        <w:t>（4）成立导师组，发挥集体培养的作用。</w:t>
      </w:r>
      <w:r>
        <w:rPr>
          <w:rFonts w:hint="eastAsia" w:ascii="宋体" w:hAnsi="宋体" w:eastAsia="宋体"/>
          <w:color w:val="000000"/>
          <w:sz w:val="21"/>
          <w:szCs w:val="21"/>
        </w:rPr>
        <w:t>导师组以具有指导硕士研究生资格的正、副教授为主，并吸收翻译行业，特别是铁路部门具有高级专业技术职务的翻译人员参加：实行双导师制，聘请本校优势学科专业能力强且精通英语的专家与英语专业的专家一起参与研究生的教学及培养工作。</w:t>
      </w:r>
    </w:p>
    <w:p w14:paraId="438D4468">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3、学习年限</w:t>
      </w:r>
    </w:p>
    <w:p w14:paraId="5E1F7BA1">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本培养计划的基本学习年限为2年，经批准延期毕业者，其学习年限不得超过4年。</w:t>
      </w:r>
    </w:p>
    <w:p w14:paraId="2330A068">
      <w:pPr>
        <w:wordWrap w:val="0"/>
        <w:spacing w:before="70" w:line="384" w:lineRule="auto"/>
        <w:ind w:right="60"/>
        <w:jc w:val="both"/>
        <w:rPr>
          <w:rFonts w:hint="eastAsia" w:ascii="宋体" w:hAnsi="宋体" w:eastAsia="宋体"/>
          <w:b/>
          <w:bCs/>
          <w:color w:val="000000"/>
          <w:sz w:val="28"/>
          <w:szCs w:val="28"/>
        </w:rPr>
      </w:pPr>
      <w:r>
        <w:rPr>
          <w:rFonts w:hint="eastAsia" w:ascii="宋体" w:hAnsi="宋体" w:eastAsia="宋体"/>
          <w:b/>
          <w:bCs/>
          <w:color w:val="000000"/>
          <w:sz w:val="28"/>
          <w:szCs w:val="28"/>
        </w:rPr>
        <w:t>四、科学研究与实践</w:t>
      </w:r>
    </w:p>
    <w:p w14:paraId="78E470B7">
      <w:pPr>
        <w:wordWrap w:val="0"/>
        <w:spacing w:before="70" w:line="384" w:lineRule="auto"/>
        <w:ind w:left="40" w:right="60" w:firstLine="420"/>
        <w:jc w:val="both"/>
        <w:rPr>
          <w:rFonts w:hint="eastAsia" w:ascii="宋体" w:hAnsi="宋体" w:eastAsia="宋体"/>
          <w:color w:val="000000"/>
          <w:sz w:val="21"/>
          <w:szCs w:val="21"/>
          <w:lang w:val="en-US" w:eastAsia="zh-CN"/>
        </w:rPr>
        <w:sectPr>
          <w:footerReference r:id="rId3" w:type="default"/>
          <w:type w:val="continuous"/>
          <w:pgSz w:w="11900" w:h="16820"/>
          <w:pgMar w:top="1440" w:right="1680" w:bottom="1440" w:left="1680" w:header="720" w:footer="720" w:gutter="0"/>
          <w:pgBorders>
            <w:top w:val="none" w:sz="0" w:space="0"/>
            <w:left w:val="none" w:sz="0" w:space="0"/>
            <w:bottom w:val="none" w:sz="0" w:space="0"/>
            <w:right w:val="none" w:sz="0" w:space="0"/>
          </w:pgBorders>
          <w:cols w:space="720" w:num="1"/>
        </w:sectPr>
      </w:pPr>
      <w:r>
        <w:rPr>
          <w:rFonts w:hint="eastAsia" w:ascii="宋体" w:hAnsi="宋体" w:eastAsia="宋体"/>
          <w:color w:val="000000"/>
          <w:sz w:val="21"/>
          <w:szCs w:val="21"/>
          <w:lang w:val="en-US" w:eastAsia="zh-CN"/>
        </w:rPr>
        <w:t>本专业学位点侧重学生的翻译实际能力的培养，同时也鼓励学生从事翻译学理论的研究和运用。研究生在校期间，在第一学年需要独立完成4万字以上的（以汉字计算）英译汉或汉译英的翻译作业。在MTI教育中心或中心翻译实习基地或其他实习单位参加累计6个月的实习活动，并在规定的时间内，各自完成不低于10万汉字篇幅的英译汉或汉译英翻译作品或文件材料，并获得中心相关项目负责人或中心实习基地的合格评价。</w:t>
      </w:r>
    </w:p>
    <w:p w14:paraId="203859DE">
      <w:pPr>
        <w:wordWrap w:val="0"/>
        <w:spacing w:before="70" w:line="384" w:lineRule="auto"/>
        <w:ind w:right="60"/>
        <w:jc w:val="both"/>
        <w:rPr>
          <w:rFonts w:hint="default" w:ascii="宋体" w:hAnsi="宋体" w:eastAsia="宋体"/>
          <w:b/>
          <w:bCs/>
          <w:color w:val="000000"/>
          <w:sz w:val="28"/>
          <w:szCs w:val="28"/>
          <w:lang w:val="en-US" w:eastAsia="zh-CN"/>
        </w:rPr>
      </w:pPr>
      <w:r>
        <w:rPr>
          <w:rFonts w:hint="eastAsia" w:ascii="宋体" w:hAnsi="宋体" w:eastAsia="宋体"/>
          <w:b/>
          <w:bCs/>
          <w:color w:val="000000"/>
          <w:sz w:val="28"/>
          <w:szCs w:val="28"/>
          <w:lang w:val="en-US" w:eastAsia="zh-CN"/>
        </w:rPr>
        <w:t>五</w:t>
      </w:r>
      <w:r>
        <w:rPr>
          <w:rFonts w:hint="eastAsia" w:ascii="宋体" w:hAnsi="宋体" w:eastAsia="宋体"/>
          <w:b/>
          <w:bCs/>
          <w:color w:val="000000"/>
          <w:sz w:val="28"/>
          <w:szCs w:val="28"/>
        </w:rPr>
        <w:t>、</w:t>
      </w:r>
      <w:r>
        <w:rPr>
          <w:rFonts w:hint="eastAsia" w:ascii="宋体" w:hAnsi="宋体" w:eastAsia="宋体"/>
          <w:b/>
          <w:bCs/>
          <w:color w:val="000000"/>
          <w:sz w:val="28"/>
          <w:szCs w:val="28"/>
          <w:lang w:val="en-US" w:eastAsia="zh-CN"/>
        </w:rPr>
        <w:t>学位论文</w:t>
      </w:r>
    </w:p>
    <w:p w14:paraId="6B1C2DDA">
      <w:pPr>
        <w:wordWrap w:val="0"/>
        <w:spacing w:before="70" w:line="384" w:lineRule="auto"/>
        <w:ind w:left="40" w:right="60" w:firstLine="420"/>
        <w:jc w:val="both"/>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1、学位论文的形式</w:t>
      </w:r>
    </w:p>
    <w:p w14:paraId="4DCA2730">
      <w:pPr>
        <w:wordWrap w:val="0"/>
        <w:spacing w:before="70" w:line="384" w:lineRule="auto"/>
        <w:ind w:left="40" w:right="60" w:firstLine="420"/>
        <w:jc w:val="both"/>
        <w:rPr>
          <w:rFonts w:hint="eastAsia" w:ascii="宋体" w:hAnsi="宋体" w:eastAsia="宋体"/>
          <w:b w:val="0"/>
          <w:bCs w:val="0"/>
          <w:color w:val="000000"/>
          <w:sz w:val="21"/>
          <w:szCs w:val="21"/>
          <w:lang w:val="en-US" w:eastAsia="zh-CN"/>
        </w:rPr>
      </w:pPr>
      <w:r>
        <w:rPr>
          <w:rFonts w:hint="eastAsia" w:ascii="宋体" w:hAnsi="宋体" w:eastAsia="宋体"/>
          <w:b w:val="0"/>
          <w:bCs w:val="0"/>
          <w:color w:val="000000"/>
          <w:sz w:val="21"/>
          <w:szCs w:val="21"/>
          <w:lang w:val="en-US" w:eastAsia="zh-CN"/>
        </w:rPr>
        <w:t>学位论文可以采用以下形式（学生任选一种，用英文写作）：</w:t>
      </w:r>
    </w:p>
    <w:p w14:paraId="4141253C">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（1）翻译案例分析报告：</w:t>
      </w:r>
    </w:p>
    <w:p w14:paraId="62D79540">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学生在导师的指导下以一个或一组主题相关的典型的翻译实习实践任务或项目为中心，针对实习实践中的具体问题，从专业翻译的角度，综合运用所学专业知识，分析并解决问题。案例应来源于翻译实习实践。基于案例分析报告的学位论文原则上使用国家通用语言文字撰写。正文字数（不包括参考文献和附录）原则上不少于</w:t>
      </w:r>
      <w:r>
        <w:rPr>
          <w:rFonts w:hint="default" w:ascii="Times New Roman" w:hAnsi="Times New Roman" w:eastAsia="宋体" w:cs="Times New Roman"/>
          <w:color w:val="000000"/>
          <w:sz w:val="21"/>
          <w:szCs w:val="21"/>
          <w:lang w:val="en-US" w:eastAsia="zh-CN"/>
        </w:rPr>
        <w:t>15,000</w:t>
      </w:r>
      <w:r>
        <w:rPr>
          <w:rFonts w:hint="eastAsia" w:ascii="宋体" w:hAnsi="宋体" w:eastAsia="宋体"/>
          <w:color w:val="000000"/>
          <w:sz w:val="21"/>
          <w:szCs w:val="21"/>
          <w:lang w:val="en-US" w:eastAsia="zh-CN"/>
        </w:rPr>
        <w:t>字（以汉字版面字数为准）。</w:t>
      </w:r>
    </w:p>
    <w:p w14:paraId="0EF45525">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（２）翻译调研报告：</w:t>
      </w:r>
    </w:p>
    <w:p w14:paraId="6E8BF870">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学生在导师的指导下以翻译行业中的某一方面、某一现象、某一群体或某一机构为调研目标，针对具体问题，从专业翻译的角度，综合运用所学专业知识，开展调研，收集、分析数据，并得出解结论。调研报告要围绕翻译行业，对其翻译政策、翻译产业、翻译教育、翻译现象、翻译技术等问题开展调研与分析，从中发现问题，并提出解决方案或作出结论。翻译调研报告的内容包括任务描述（调研目的、调研对象、调研方式等），任务过程（受试的选择、调研的组织、调研数据的收集）、调研结果分析以及调研的结论与建议等。调研报告原则上使用国家通用语言文字撰写，正文字数（不包括参考文献和附录）原则上不少于</w:t>
      </w:r>
      <w:r>
        <w:rPr>
          <w:rFonts w:hint="default" w:ascii="Times New Roman" w:hAnsi="Times New Roman" w:eastAsia="宋体" w:cs="Times New Roman"/>
          <w:color w:val="000000"/>
          <w:sz w:val="21"/>
          <w:szCs w:val="21"/>
          <w:lang w:val="en-US" w:eastAsia="zh-CN"/>
        </w:rPr>
        <w:t>15,000</w:t>
      </w:r>
      <w:r>
        <w:rPr>
          <w:rFonts w:hint="eastAsia" w:ascii="宋体" w:hAnsi="宋体" w:eastAsia="宋体"/>
          <w:color w:val="000000"/>
          <w:sz w:val="21"/>
          <w:szCs w:val="21"/>
          <w:lang w:val="en-US" w:eastAsia="zh-CN"/>
        </w:rPr>
        <w:t>字（以汉字版面字数为准）。</w:t>
      </w:r>
    </w:p>
    <w:p w14:paraId="5E12DAC0">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（３）翻译项目管理报告：</w:t>
      </w:r>
    </w:p>
    <w:p w14:paraId="1E86152E">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学生在导师的指导下根据所参与的翻译实践项目，进行项目运行分析。论文需提供翻译项目的背景、实施运行情况，基于项目的管理流程，对翻译项目管理的论证等内容。基于翻译项目管理报告的学位论文原则上使用国家通用语言文字撰写。正文字数（不包括参考文献和附录）原则上不少于</w:t>
      </w:r>
      <w:r>
        <w:rPr>
          <w:rFonts w:hint="default" w:ascii="Times New Roman" w:hAnsi="Times New Roman" w:eastAsia="宋体" w:cs="Times New Roman"/>
          <w:color w:val="000000"/>
          <w:sz w:val="21"/>
          <w:szCs w:val="21"/>
          <w:lang w:val="en-US" w:eastAsia="zh-CN"/>
        </w:rPr>
        <w:t>15,000</w:t>
      </w:r>
      <w:r>
        <w:rPr>
          <w:rFonts w:hint="eastAsia" w:ascii="宋体" w:hAnsi="宋体" w:eastAsia="宋体"/>
          <w:color w:val="000000"/>
          <w:sz w:val="21"/>
          <w:szCs w:val="21"/>
          <w:lang w:val="en-US" w:eastAsia="zh-CN"/>
        </w:rPr>
        <w:t>字（以汉字版面字数为准）。</w:t>
      </w:r>
    </w:p>
    <w:p w14:paraId="51DEEE1C">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（４）研究型学术论文：</w:t>
      </w:r>
    </w:p>
    <w:p w14:paraId="1A52F52E">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学生在导师的指导下撰写与翻译有关的研究型论文，要求学生聚焦某一翻译现象，通过查阅文献，提出问题，分析问题，并进行有效论证。研究型的学位论文原则上使用英文撰写。正文字数（不包括参考文献和附录）原则上不少于</w:t>
      </w:r>
      <w:r>
        <w:rPr>
          <w:rFonts w:hint="default" w:ascii="Times New Roman" w:hAnsi="Times New Roman" w:eastAsia="宋体" w:cs="Times New Roman"/>
          <w:color w:val="000000"/>
          <w:sz w:val="21"/>
          <w:szCs w:val="21"/>
          <w:lang w:val="en-US" w:eastAsia="zh-CN"/>
        </w:rPr>
        <w:t>15,000</w:t>
      </w:r>
      <w:r>
        <w:rPr>
          <w:rFonts w:hint="eastAsia" w:ascii="宋体" w:hAnsi="宋体" w:eastAsia="宋体"/>
          <w:color w:val="000000"/>
          <w:sz w:val="21"/>
          <w:szCs w:val="21"/>
          <w:lang w:val="en-US" w:eastAsia="zh-CN"/>
        </w:rPr>
        <w:t>字（以英文版面字数为准）。字数不少于</w:t>
      </w:r>
      <w:r>
        <w:rPr>
          <w:rFonts w:hint="default" w:ascii="Times New Roman" w:hAnsi="Times New Roman" w:eastAsia="宋体" w:cs="Times New Roman"/>
          <w:color w:val="000000"/>
          <w:sz w:val="21"/>
          <w:szCs w:val="21"/>
          <w:lang w:val="en-US" w:eastAsia="zh-CN"/>
        </w:rPr>
        <w:t>15,000</w:t>
      </w:r>
      <w:r>
        <w:rPr>
          <w:rFonts w:hint="eastAsia" w:ascii="宋体" w:hAnsi="宋体" w:eastAsia="宋体"/>
          <w:color w:val="000000"/>
          <w:sz w:val="21"/>
          <w:szCs w:val="21"/>
          <w:lang w:val="en-US" w:eastAsia="zh-CN"/>
        </w:rPr>
        <w:t>个英语单词。</w:t>
      </w:r>
    </w:p>
    <w:p w14:paraId="00DD74F0">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（5）翻译实践成果：</w:t>
      </w:r>
    </w:p>
    <w:p w14:paraId="4229EEE2">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default" w:ascii="宋体" w:hAnsi="宋体" w:eastAsia="宋体"/>
          <w:color w:val="000000"/>
          <w:sz w:val="21"/>
          <w:szCs w:val="21"/>
          <w:lang w:val="en-US" w:eastAsia="zh-CN"/>
        </w:rPr>
        <w:t>学生在导师的指导下</w:t>
      </w:r>
      <w:r>
        <w:rPr>
          <w:rFonts w:hint="eastAsia" w:ascii="宋体" w:hAnsi="宋体" w:eastAsia="宋体"/>
          <w:color w:val="000000"/>
          <w:sz w:val="21"/>
          <w:szCs w:val="21"/>
          <w:lang w:val="en-US" w:eastAsia="zh-CN"/>
        </w:rPr>
        <w:t>笔译100,000字的文字材料（汉译英和英译汉均可，以版面字数为准。），并以单独译者（需经导师同意，并签署同意书）或第二译者（导师为第一译者）的身份正式出版翻译作品，并将出版社出具的翻译字数证明提交MTI学位点。</w:t>
      </w:r>
    </w:p>
    <w:p w14:paraId="2E4DF94F">
      <w:pPr>
        <w:wordWrap w:val="0"/>
        <w:spacing w:before="70" w:line="384" w:lineRule="auto"/>
        <w:ind w:left="40" w:right="60" w:firstLine="420"/>
        <w:jc w:val="both"/>
        <w:rPr>
          <w:rFonts w:hint="eastAsia"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2、学位论文管理</w:t>
      </w:r>
    </w:p>
    <w:p w14:paraId="734F38AB">
      <w:pPr>
        <w:wordWrap w:val="0"/>
        <w:spacing w:before="70" w:line="384" w:lineRule="auto"/>
        <w:ind w:left="40" w:right="60" w:firstLine="420"/>
        <w:jc w:val="both"/>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（1）开题报告</w:t>
      </w:r>
    </w:p>
    <w:p w14:paraId="166B8E25">
      <w:pPr>
        <w:wordWrap w:val="0"/>
        <w:spacing w:before="70" w:line="384" w:lineRule="auto"/>
        <w:ind w:left="40" w:right="60" w:firstLine="420"/>
        <w:jc w:val="both"/>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开题一般由学院（学科）统一组织，开题</w:t>
      </w:r>
      <w:r>
        <w:rPr>
          <w:rFonts w:hint="default" w:ascii="宋体" w:hAnsi="宋体" w:eastAsia="宋体"/>
          <w:color w:val="000000"/>
          <w:sz w:val="21"/>
          <w:szCs w:val="21"/>
          <w:lang w:val="en-US" w:eastAsia="zh-CN"/>
        </w:rPr>
        <w:t>时间通常定于</w:t>
      </w:r>
      <w:r>
        <w:rPr>
          <w:rFonts w:hint="eastAsia" w:ascii="宋体" w:hAnsi="宋体" w:eastAsia="宋体"/>
          <w:color w:val="000000"/>
          <w:sz w:val="21"/>
          <w:szCs w:val="21"/>
          <w:lang w:val="en-US" w:eastAsia="zh-CN"/>
        </w:rPr>
        <w:t>第</w:t>
      </w:r>
      <w:r>
        <w:rPr>
          <w:rFonts w:hint="default" w:ascii="宋体" w:hAnsi="宋体" w:eastAsia="宋体"/>
          <w:color w:val="000000"/>
          <w:sz w:val="21"/>
          <w:szCs w:val="21"/>
          <w:lang w:val="en-US" w:eastAsia="zh-CN"/>
        </w:rPr>
        <w:t>三学期</w:t>
      </w:r>
      <w:r>
        <w:rPr>
          <w:rFonts w:hint="eastAsia" w:ascii="宋体" w:hAnsi="宋体" w:eastAsia="宋体"/>
          <w:color w:val="000000"/>
          <w:sz w:val="21"/>
          <w:szCs w:val="21"/>
          <w:lang w:val="en-US" w:eastAsia="zh-CN"/>
        </w:rPr>
        <w:t>开学后</w:t>
      </w:r>
      <w:r>
        <w:rPr>
          <w:rFonts w:hint="default" w:ascii="宋体" w:hAnsi="宋体" w:eastAsia="宋体"/>
          <w:color w:val="000000"/>
          <w:sz w:val="21"/>
          <w:szCs w:val="21"/>
          <w:lang w:val="en-US" w:eastAsia="zh-CN"/>
        </w:rPr>
        <w:t>第二周进行。</w:t>
      </w:r>
      <w:r>
        <w:rPr>
          <w:rFonts w:hint="eastAsia" w:ascii="宋体" w:hAnsi="宋体" w:eastAsia="宋体"/>
          <w:color w:val="000000"/>
          <w:sz w:val="21"/>
          <w:szCs w:val="21"/>
          <w:lang w:val="en-US" w:eastAsia="zh-CN"/>
        </w:rPr>
        <w:t>开题需获</w:t>
      </w:r>
      <w:r>
        <w:rPr>
          <w:rFonts w:hint="default" w:ascii="宋体" w:hAnsi="宋体" w:eastAsia="宋体"/>
          <w:color w:val="000000"/>
          <w:sz w:val="21"/>
          <w:szCs w:val="21"/>
          <w:lang w:val="en-US" w:eastAsia="zh-CN"/>
        </w:rPr>
        <w:t>导师</w:t>
      </w:r>
      <w:r>
        <w:rPr>
          <w:rFonts w:hint="eastAsia" w:ascii="宋体" w:hAnsi="宋体" w:eastAsia="宋体"/>
          <w:color w:val="000000"/>
          <w:sz w:val="21"/>
          <w:szCs w:val="21"/>
          <w:lang w:val="en-US" w:eastAsia="zh-CN"/>
        </w:rPr>
        <w:t>通过</w:t>
      </w:r>
      <w:r>
        <w:rPr>
          <w:rFonts w:hint="default" w:ascii="宋体" w:hAnsi="宋体" w:eastAsia="宋体"/>
          <w:color w:val="000000"/>
          <w:sz w:val="21"/>
          <w:szCs w:val="21"/>
          <w:lang w:val="en-US" w:eastAsia="zh-CN"/>
        </w:rPr>
        <w:t>，并</w:t>
      </w:r>
      <w:r>
        <w:rPr>
          <w:rFonts w:hint="eastAsia" w:ascii="宋体" w:hAnsi="宋体" w:eastAsia="宋体"/>
          <w:color w:val="000000"/>
          <w:sz w:val="21"/>
          <w:szCs w:val="21"/>
          <w:lang w:val="en-US" w:eastAsia="zh-CN"/>
        </w:rPr>
        <w:t>由</w:t>
      </w:r>
      <w:r>
        <w:rPr>
          <w:rFonts w:hint="default" w:ascii="宋体" w:hAnsi="宋体" w:eastAsia="宋体"/>
          <w:color w:val="000000"/>
          <w:sz w:val="21"/>
          <w:szCs w:val="21"/>
          <w:lang w:val="en-US" w:eastAsia="zh-CN"/>
        </w:rPr>
        <w:t>导师同意方可参与开题答辩。</w:t>
      </w:r>
    </w:p>
    <w:p w14:paraId="74687EFE">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开题</w:t>
      </w:r>
      <w:r>
        <w:rPr>
          <w:rFonts w:hint="default" w:ascii="宋体" w:hAnsi="宋体" w:eastAsia="宋体"/>
          <w:color w:val="000000"/>
          <w:sz w:val="21"/>
          <w:szCs w:val="21"/>
          <w:lang w:val="en-US" w:eastAsia="zh-CN"/>
        </w:rPr>
        <w:t>报告</w:t>
      </w:r>
      <w:r>
        <w:rPr>
          <w:rFonts w:hint="eastAsia" w:ascii="宋体" w:hAnsi="宋体" w:eastAsia="宋体"/>
          <w:color w:val="000000"/>
          <w:sz w:val="21"/>
          <w:szCs w:val="21"/>
          <w:lang w:val="en-US" w:eastAsia="zh-CN"/>
        </w:rPr>
        <w:t>包括</w:t>
      </w:r>
      <w:r>
        <w:rPr>
          <w:rFonts w:hint="default" w:ascii="宋体" w:hAnsi="宋体" w:eastAsia="宋体"/>
          <w:color w:val="000000"/>
          <w:sz w:val="21"/>
          <w:szCs w:val="21"/>
          <w:lang w:val="en-US" w:eastAsia="zh-CN"/>
        </w:rPr>
        <w:t>：</w:t>
      </w:r>
      <w:r>
        <w:rPr>
          <w:rFonts w:hint="eastAsia" w:ascii="宋体" w:hAnsi="宋体" w:eastAsia="宋体"/>
          <w:color w:val="000000"/>
          <w:sz w:val="21"/>
          <w:szCs w:val="21"/>
          <w:lang w:val="en-US" w:eastAsia="zh-CN"/>
        </w:rPr>
        <w:t>论文题目、翻译项目或翻译材料描述/文献综述、 研究的意义与目的、论文研究的方法、手段、理论依据、论文的主要研究内容、范畴或所涉及到的项目管理过程、可能遇见的困难、问题及拟采取的解决办法、措施、论文的工作进度安排、论文提纲（至少写到三级标题）、论文的创新点或对未来翻译的借鉴意义、参考书目/相关附件材料。</w:t>
      </w:r>
    </w:p>
    <w:p w14:paraId="6E7DE62D">
      <w:pPr>
        <w:wordWrap w:val="0"/>
        <w:spacing w:before="70" w:line="384" w:lineRule="auto"/>
        <w:ind w:left="40" w:right="60" w:firstLine="420"/>
        <w:jc w:val="both"/>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（2）学位论文中期考核及翻译实践考核</w:t>
      </w:r>
    </w:p>
    <w:p w14:paraId="39E37DE0">
      <w:pPr>
        <w:wordWrap w:val="0"/>
        <w:spacing w:before="70" w:line="384" w:lineRule="auto"/>
        <w:ind w:left="40" w:right="60" w:firstLine="42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学院实行学位论文中期考核制度，学位点将根据研究生院的规定组织中期检查与考核。中期考核应注重考查学生的论文进度（学生的论文须完成70%及以上），以及在论文写作过程中出现的问题，并提出建议，如果论文写作涉及1万字的翻译材料，翻译质量是考查的重点。</w:t>
      </w:r>
    </w:p>
    <w:p w14:paraId="6ED96DBF">
      <w:pPr>
        <w:wordWrap w:val="0"/>
        <w:spacing w:before="70" w:line="384" w:lineRule="auto"/>
        <w:ind w:left="40" w:right="60" w:firstLine="420"/>
        <w:jc w:val="both"/>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（3）论文答辩等环节和要求</w:t>
      </w:r>
    </w:p>
    <w:p w14:paraId="4AF11C3A">
      <w:pPr>
        <w:wordWrap w:val="0"/>
        <w:spacing w:before="70" w:line="384" w:lineRule="auto"/>
        <w:ind w:left="40" w:right="60" w:firstLine="420"/>
        <w:jc w:val="both"/>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本学位点根据学校和学院相关文件要求执行学位论文匿名评审，论文评阅人中至少有一位是校外专家。答辩委员会至少由3名成员组成，其中必须至少有一位具有丰富的笔译实践经验且具有高级专业技术职称的专家。论文终稿通常在4月中旬提交，四月下旬进行校内外盲审，评审通过后方能参与毕业论文答辩。答辩通常定于5月底或６月初进行。 学生在完成课程学习及实习实践环节，取得规定学分，并通过学位论文答辩后，</w:t>
      </w:r>
      <w:r>
        <w:rPr>
          <w:rFonts w:hint="default" w:ascii="宋体" w:hAnsi="宋体" w:eastAsia="宋体"/>
          <w:color w:val="000000"/>
          <w:sz w:val="21"/>
          <w:szCs w:val="21"/>
          <w:lang w:val="en-US" w:eastAsia="zh-CN"/>
        </w:rPr>
        <w:t>经</w:t>
      </w:r>
      <w:r>
        <w:rPr>
          <w:rFonts w:hint="eastAsia" w:ascii="宋体" w:hAnsi="宋体" w:eastAsia="宋体"/>
          <w:color w:val="000000"/>
          <w:sz w:val="21"/>
          <w:szCs w:val="21"/>
          <w:lang w:val="en-US" w:eastAsia="zh-CN"/>
        </w:rPr>
        <w:t>语言与传播学</w:t>
      </w:r>
      <w:r>
        <w:rPr>
          <w:rFonts w:hint="default" w:ascii="宋体" w:hAnsi="宋体" w:eastAsia="宋体"/>
          <w:color w:val="000000"/>
          <w:sz w:val="21"/>
          <w:szCs w:val="21"/>
          <w:lang w:val="en-US" w:eastAsia="zh-CN"/>
        </w:rPr>
        <w:t>院和北京</w:t>
      </w:r>
      <w:r>
        <w:rPr>
          <w:rFonts w:hint="eastAsia" w:ascii="宋体" w:hAnsi="宋体" w:eastAsia="宋体"/>
          <w:color w:val="000000"/>
          <w:sz w:val="21"/>
          <w:szCs w:val="21"/>
          <w:lang w:val="en-US" w:eastAsia="zh-CN"/>
        </w:rPr>
        <w:t>交通</w:t>
      </w:r>
      <w:r>
        <w:rPr>
          <w:rFonts w:hint="default" w:ascii="宋体" w:hAnsi="宋体" w:eastAsia="宋体"/>
          <w:color w:val="000000"/>
          <w:sz w:val="21"/>
          <w:szCs w:val="21"/>
          <w:lang w:val="en-US" w:eastAsia="zh-CN"/>
        </w:rPr>
        <w:t>大学两级学位评定委员会审核批准，获取北京</w:t>
      </w:r>
      <w:r>
        <w:rPr>
          <w:rFonts w:hint="eastAsia" w:ascii="宋体" w:hAnsi="宋体" w:eastAsia="宋体"/>
          <w:color w:val="000000"/>
          <w:sz w:val="21"/>
          <w:szCs w:val="21"/>
          <w:lang w:val="en-US" w:eastAsia="zh-CN"/>
        </w:rPr>
        <w:t>交通</w:t>
      </w:r>
      <w:r>
        <w:rPr>
          <w:rFonts w:hint="default" w:ascii="宋体" w:hAnsi="宋体" w:eastAsia="宋体"/>
          <w:color w:val="000000"/>
          <w:sz w:val="21"/>
          <w:szCs w:val="21"/>
          <w:lang w:val="en-US" w:eastAsia="zh-CN"/>
        </w:rPr>
        <w:t>大学翻译硕士（MTI）专业学位。</w:t>
      </w:r>
    </w:p>
    <w:p w14:paraId="63DA0310">
      <w:pPr>
        <w:keepNext w:val="0"/>
        <w:keepLines w:val="0"/>
        <w:pageBreakBefore w:val="0"/>
        <w:widowControl w:val="0"/>
        <w:numPr>
          <w:ilvl w:val="0"/>
          <w:numId w:val="1"/>
        </w:numPr>
        <w:kinsoku/>
        <w:wordWrap w:val="0"/>
        <w:overflowPunct/>
        <w:topLinePunct w:val="0"/>
        <w:autoSpaceDE/>
        <w:autoSpaceDN/>
        <w:bidi w:val="0"/>
        <w:adjustRightInd w:val="0"/>
        <w:snapToGrid w:val="0"/>
        <w:spacing w:before="0" w:beforeLines="50" w:after="0" w:afterLines="50" w:line="360" w:lineRule="auto"/>
        <w:ind w:firstLine="62"/>
        <w:jc w:val="both"/>
        <w:textAlignment w:val="auto"/>
        <w:rPr>
          <w:rFonts w:hint="eastAsia" w:ascii="宋体" w:hAnsi="宋体" w:eastAsia="宋体"/>
          <w:b/>
          <w:bCs/>
          <w:color w:val="000000"/>
          <w:sz w:val="28"/>
          <w:szCs w:val="28"/>
          <w:lang w:val="en-US" w:eastAsia="zh-CN"/>
        </w:rPr>
      </w:pPr>
      <w:r>
        <w:rPr>
          <w:rFonts w:hint="eastAsia" w:ascii="宋体" w:hAnsi="宋体" w:eastAsia="宋体"/>
          <w:b/>
          <w:bCs/>
          <w:color w:val="000000"/>
          <w:sz w:val="28"/>
          <w:szCs w:val="28"/>
        </w:rPr>
        <w:t>其他</w:t>
      </w:r>
      <w:r>
        <w:rPr>
          <w:rFonts w:hint="eastAsia" w:ascii="宋体" w:hAnsi="宋体" w:eastAsia="宋体"/>
          <w:b/>
          <w:bCs/>
          <w:color w:val="000000"/>
          <w:sz w:val="28"/>
          <w:szCs w:val="28"/>
          <w:lang w:val="en-US" w:eastAsia="zh-CN"/>
        </w:rPr>
        <w:t>要求</w:t>
      </w:r>
    </w:p>
    <w:p w14:paraId="3EB278BF">
      <w:pPr>
        <w:wordWrap w:val="0"/>
        <w:spacing w:before="70" w:line="384" w:lineRule="auto"/>
        <w:ind w:left="40" w:right="60" w:firstLine="420"/>
        <w:jc w:val="both"/>
        <w:rPr>
          <w:rFonts w:hint="eastAsia" w:ascii="宋体" w:hAnsi="宋体" w:eastAsia="宋体"/>
          <w:b/>
          <w:bCs/>
          <w:color w:val="000000"/>
          <w:sz w:val="28"/>
          <w:szCs w:val="28"/>
        </w:rPr>
      </w:pPr>
      <w:r>
        <w:rPr>
          <w:rFonts w:hint="eastAsia" w:ascii="宋体" w:hAnsi="宋体" w:eastAsia="宋体"/>
          <w:color w:val="000000"/>
          <w:sz w:val="21"/>
          <w:szCs w:val="21"/>
          <w:lang w:val="en-US" w:eastAsia="zh-CN"/>
        </w:rPr>
        <w:t>其他有关要求按照《北京交通大学关于学术型硕士研究生培养工作的若干规定》和学院的有关规定执行。</w:t>
      </w:r>
    </w:p>
    <w:p w14:paraId="6B749C1F">
      <w:pPr>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50" w:after="0" w:afterLines="50" w:line="360" w:lineRule="auto"/>
        <w:jc w:val="both"/>
        <w:textAlignment w:val="auto"/>
        <w:rPr>
          <w:rFonts w:hint="eastAsia" w:ascii="宋体" w:hAnsi="宋体" w:eastAsia="宋体"/>
          <w:b/>
          <w:bCs/>
          <w:color w:val="000000"/>
          <w:sz w:val="28"/>
          <w:szCs w:val="28"/>
          <w:lang w:val="en-US" w:eastAsia="zh-CN"/>
        </w:rPr>
      </w:pPr>
      <w:r>
        <w:rPr>
          <w:rFonts w:hint="eastAsia" w:ascii="宋体" w:hAnsi="宋体" w:eastAsia="宋体"/>
          <w:b/>
          <w:bCs/>
          <w:color w:val="000000"/>
          <w:sz w:val="28"/>
          <w:szCs w:val="28"/>
          <w:lang w:val="en-US" w:eastAsia="zh-CN"/>
        </w:rPr>
        <w:t>七、</w:t>
      </w:r>
      <w:r>
        <w:rPr>
          <w:rFonts w:hint="eastAsia" w:ascii="宋体" w:hAnsi="宋体" w:eastAsia="宋体"/>
          <w:b/>
          <w:bCs/>
          <w:color w:val="000000"/>
          <w:sz w:val="28"/>
          <w:szCs w:val="28"/>
        </w:rPr>
        <w:t>课程设置与学分</w:t>
      </w:r>
    </w:p>
    <w:p w14:paraId="504C1D5B">
      <w:pPr>
        <w:wordWrap w:val="0"/>
        <w:spacing w:before="70" w:line="384" w:lineRule="auto"/>
        <w:ind w:left="40" w:right="60" w:firstLine="630" w:firstLineChars="300"/>
        <w:jc w:val="both"/>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具体课程设置见附表。</w:t>
      </w:r>
    </w:p>
    <w:p w14:paraId="6826CE03">
      <w:pPr>
        <w:wordWrap w:val="0"/>
        <w:spacing w:before="70" w:line="384" w:lineRule="auto"/>
        <w:ind w:left="40" w:right="60" w:firstLine="420"/>
        <w:jc w:val="both"/>
        <w:rPr>
          <w:rFonts w:hint="eastAsia" w:ascii="宋体" w:hAnsi="宋体" w:eastAsia="宋体" w:cs="宋体"/>
          <w:b/>
          <w:bCs/>
          <w:sz w:val="21"/>
          <w:szCs w:val="21"/>
        </w:rPr>
      </w:pPr>
      <w:r>
        <w:rPr>
          <w:rFonts w:hint="eastAsia" w:ascii="宋体" w:hAnsi="宋体" w:eastAsia="宋体" w:cs="宋体"/>
          <w:b/>
          <w:bCs/>
          <w:color w:val="000000"/>
          <w:sz w:val="21"/>
          <w:szCs w:val="21"/>
        </w:rPr>
        <w:t>附</w:t>
      </w: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rPr>
        <w:t>课程设置表</w:t>
      </w:r>
    </w:p>
    <w:p w14:paraId="18C97503">
      <w:pPr>
        <w:keepNext w:val="0"/>
        <w:keepLines w:val="0"/>
        <w:pageBreakBefore w:val="0"/>
        <w:widowControl w:val="0"/>
        <w:kinsoku/>
        <w:wordWrap w:val="0"/>
        <w:overflowPunct/>
        <w:topLinePunct w:val="0"/>
        <w:autoSpaceDE/>
        <w:autoSpaceDN/>
        <w:bidi w:val="0"/>
        <w:adjustRightInd w:val="0"/>
        <w:snapToGrid w:val="0"/>
        <w:spacing w:line="360" w:lineRule="auto"/>
        <w:ind w:firstLine="941"/>
        <w:jc w:val="center"/>
        <w:textAlignment w:val="auto"/>
        <w:rPr>
          <w:rFonts w:hint="eastAsia" w:ascii="宋体" w:hAnsi="宋体" w:eastAsia="宋体" w:cs="宋体"/>
          <w:b/>
          <w:bCs/>
          <w:sz w:val="21"/>
          <w:szCs w:val="21"/>
        </w:rPr>
      </w:pPr>
      <w:r>
        <w:rPr>
          <w:rFonts w:hint="eastAsia" w:ascii="宋体" w:hAnsi="宋体" w:eastAsia="宋体" w:cs="宋体"/>
          <w:b/>
          <w:bCs/>
          <w:color w:val="000000"/>
          <w:sz w:val="21"/>
          <w:szCs w:val="21"/>
        </w:rPr>
        <w:t>翻译专业硕士研究生课程设置的基本框架（总学分≥3</w:t>
      </w:r>
      <w:r>
        <w:rPr>
          <w:rFonts w:hint="eastAsia" w:ascii="宋体" w:hAnsi="宋体" w:eastAsia="宋体" w:cs="宋体"/>
          <w:b/>
          <w:bCs/>
          <w:color w:val="000000"/>
          <w:sz w:val="21"/>
          <w:szCs w:val="21"/>
          <w:lang w:val="en-US" w:eastAsia="zh-CN"/>
        </w:rPr>
        <w:t>5</w:t>
      </w:r>
      <w:r>
        <w:rPr>
          <w:rFonts w:hint="eastAsia" w:ascii="宋体" w:hAnsi="宋体" w:eastAsia="宋体" w:cs="宋体"/>
          <w:b/>
          <w:bCs/>
          <w:color w:val="000000"/>
          <w:sz w:val="21"/>
          <w:szCs w:val="21"/>
        </w:rPr>
        <w:t>分）</w:t>
      </w:r>
    </w:p>
    <w:p w14:paraId="79593B6B">
      <w:pPr>
        <w:wordWrap w:val="0"/>
        <w:spacing w:line="240" w:lineRule="auto"/>
        <w:ind w:firstLine="0"/>
        <w:jc w:val="center"/>
        <w:rPr>
          <w:rFonts w:hint="eastAsia" w:ascii="宋体" w:hAnsi="宋体" w:eastAsia="宋体"/>
          <w:b/>
          <w:bCs/>
          <w:color w:val="000000"/>
          <w:sz w:val="22"/>
          <w:szCs w:val="24"/>
        </w:rPr>
      </w:pPr>
    </w:p>
    <w:p w14:paraId="42E0D1FC">
      <w:pPr>
        <w:wordWrap w:val="0"/>
        <w:spacing w:line="14" w:lineRule="auto"/>
        <w:ind w:firstLine="0"/>
        <w:jc w:val="both"/>
        <w:rPr>
          <w:rFonts w:hint="eastAsia" w:ascii="宋体" w:hAnsi="宋体" w:eastAsia="宋体"/>
          <w:color w:val="000000"/>
          <w:sz w:val="12"/>
        </w:rPr>
      </w:pPr>
    </w:p>
    <w:tbl>
      <w:tblPr>
        <w:tblStyle w:val="3"/>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940"/>
        <w:gridCol w:w="884"/>
        <w:gridCol w:w="1016"/>
        <w:gridCol w:w="2608"/>
        <w:gridCol w:w="636"/>
        <w:gridCol w:w="612"/>
        <w:gridCol w:w="624"/>
        <w:gridCol w:w="480"/>
        <w:gridCol w:w="540"/>
        <w:gridCol w:w="1120"/>
      </w:tblGrid>
      <w:tr w14:paraId="7BCC183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80" w:hRule="atLeast"/>
        </w:trPr>
        <w:tc>
          <w:tcPr>
            <w:tcW w:w="940" w:type="dxa"/>
            <w:vMerge w:val="restart"/>
            <w:tcBorders>
              <w:top w:val="single" w:color="000000" w:sz="4" w:space="0"/>
              <w:left w:val="single" w:color="000000" w:sz="4" w:space="0"/>
              <w:bottom w:val="single" w:color="000000" w:sz="4" w:space="0"/>
              <w:right w:val="single" w:color="000000" w:sz="4" w:space="0"/>
            </w:tcBorders>
            <w:vAlign w:val="center"/>
          </w:tcPr>
          <w:p w14:paraId="4448391A">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课程类别</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14:paraId="224F7C7E">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课程模块</w:t>
            </w:r>
          </w:p>
        </w:tc>
        <w:tc>
          <w:tcPr>
            <w:tcW w:w="1016" w:type="dxa"/>
            <w:vMerge w:val="restart"/>
            <w:tcBorders>
              <w:top w:val="single" w:color="000000" w:sz="4" w:space="0"/>
              <w:left w:val="single" w:color="000000" w:sz="4" w:space="0"/>
              <w:bottom w:val="single" w:color="000000" w:sz="4" w:space="0"/>
              <w:right w:val="single" w:color="000000" w:sz="4" w:space="0"/>
            </w:tcBorders>
            <w:vAlign w:val="center"/>
          </w:tcPr>
          <w:p w14:paraId="34867E06">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课程编号</w:t>
            </w:r>
          </w:p>
        </w:tc>
        <w:tc>
          <w:tcPr>
            <w:tcW w:w="2608" w:type="dxa"/>
            <w:vMerge w:val="restart"/>
            <w:tcBorders>
              <w:top w:val="single" w:color="000000" w:sz="4" w:space="0"/>
              <w:left w:val="single" w:color="000000" w:sz="4" w:space="0"/>
              <w:bottom w:val="single" w:color="000000" w:sz="4" w:space="0"/>
              <w:right w:val="single" w:color="000000" w:sz="4" w:space="0"/>
            </w:tcBorders>
            <w:vAlign w:val="center"/>
          </w:tcPr>
          <w:p w14:paraId="08BEA92C">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课程名称</w:t>
            </w:r>
          </w:p>
        </w:tc>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6B89E9E9">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学时</w:t>
            </w:r>
          </w:p>
        </w:tc>
        <w:tc>
          <w:tcPr>
            <w:tcW w:w="612" w:type="dxa"/>
            <w:vMerge w:val="restart"/>
            <w:tcBorders>
              <w:top w:val="single" w:color="000000" w:sz="4" w:space="0"/>
              <w:left w:val="single" w:color="000000" w:sz="4" w:space="0"/>
              <w:bottom w:val="single" w:color="000000" w:sz="4" w:space="0"/>
              <w:right w:val="single" w:color="000000" w:sz="4" w:space="0"/>
            </w:tcBorders>
            <w:vAlign w:val="center"/>
          </w:tcPr>
          <w:p w14:paraId="48FC2D02">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学分</w:t>
            </w:r>
          </w:p>
        </w:tc>
        <w:tc>
          <w:tcPr>
            <w:tcW w:w="1104" w:type="dxa"/>
            <w:gridSpan w:val="2"/>
            <w:tcBorders>
              <w:top w:val="single" w:color="000000" w:sz="4" w:space="0"/>
              <w:left w:val="single" w:color="000000" w:sz="4" w:space="0"/>
              <w:bottom w:val="single" w:color="000000" w:sz="4" w:space="0"/>
              <w:right w:val="single" w:color="000000" w:sz="4" w:space="0"/>
            </w:tcBorders>
            <w:vAlign w:val="center"/>
          </w:tcPr>
          <w:p w14:paraId="5D611299">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开课时间</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7B353815">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考核方式</w:t>
            </w:r>
          </w:p>
        </w:tc>
        <w:tc>
          <w:tcPr>
            <w:tcW w:w="1120" w:type="dxa"/>
            <w:vMerge w:val="restart"/>
            <w:tcBorders>
              <w:top w:val="single" w:color="000000" w:sz="4" w:space="0"/>
              <w:left w:val="single" w:color="000000" w:sz="4" w:space="0"/>
              <w:bottom w:val="single" w:color="000000" w:sz="4" w:space="0"/>
              <w:right w:val="single" w:color="000000" w:sz="4" w:space="0"/>
            </w:tcBorders>
            <w:vAlign w:val="center"/>
          </w:tcPr>
          <w:p w14:paraId="1EC2609E">
            <w:pPr>
              <w:widowControl/>
              <w:snapToGrid w:val="0"/>
              <w:jc w:val="center"/>
              <w:rPr>
                <w:rFonts w:hint="default"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学分要求</w:t>
            </w:r>
          </w:p>
        </w:tc>
      </w:tr>
      <w:tr w14:paraId="0B37DE0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top w:val="single" w:color="000000" w:sz="4" w:space="0"/>
              <w:left w:val="single" w:color="000000" w:sz="4" w:space="0"/>
              <w:bottom w:val="single" w:color="000000" w:sz="4" w:space="0"/>
              <w:right w:val="single" w:color="000000" w:sz="4" w:space="0"/>
            </w:tcBorders>
            <w:vAlign w:val="center"/>
          </w:tcPr>
          <w:p w14:paraId="5BE4A8CA">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14:paraId="6C0CB464">
            <w:pPr>
              <w:widowControl/>
              <w:snapToGrid w:val="0"/>
              <w:jc w:val="center"/>
              <w:rPr>
                <w:rFonts w:hint="eastAsia" w:ascii="宋体" w:hAnsi="宋体" w:eastAsia="宋体" w:cs="宋体"/>
                <w:b w:val="0"/>
                <w:bCs w:val="0"/>
                <w:kern w:val="0"/>
                <w:sz w:val="18"/>
                <w:szCs w:val="18"/>
                <w:lang w:val="en-US" w:eastAsia="zh-CN" w:bidi="ar-SA"/>
              </w:rPr>
            </w:pPr>
          </w:p>
        </w:tc>
        <w:tc>
          <w:tcPr>
            <w:tcW w:w="1016" w:type="dxa"/>
            <w:vMerge w:val="continue"/>
            <w:tcBorders>
              <w:top w:val="single" w:color="000000" w:sz="4" w:space="0"/>
              <w:left w:val="single" w:color="000000" w:sz="4" w:space="0"/>
              <w:bottom w:val="single" w:color="000000" w:sz="4" w:space="0"/>
              <w:right w:val="single" w:color="000000" w:sz="4" w:space="0"/>
            </w:tcBorders>
            <w:vAlign w:val="center"/>
          </w:tcPr>
          <w:p w14:paraId="268B4469">
            <w:pPr>
              <w:widowControl/>
              <w:snapToGrid w:val="0"/>
              <w:jc w:val="center"/>
              <w:rPr>
                <w:rFonts w:hint="eastAsia" w:ascii="宋体" w:hAnsi="宋体" w:eastAsia="宋体" w:cs="宋体"/>
                <w:b w:val="0"/>
                <w:bCs w:val="0"/>
                <w:kern w:val="0"/>
                <w:sz w:val="18"/>
                <w:szCs w:val="18"/>
                <w:lang w:val="en-US" w:eastAsia="zh-CN" w:bidi="ar-SA"/>
              </w:rPr>
            </w:pPr>
          </w:p>
        </w:tc>
        <w:tc>
          <w:tcPr>
            <w:tcW w:w="2608" w:type="dxa"/>
            <w:vMerge w:val="continue"/>
            <w:tcBorders>
              <w:top w:val="single" w:color="000000" w:sz="4" w:space="0"/>
              <w:left w:val="single" w:color="000000" w:sz="4" w:space="0"/>
              <w:bottom w:val="single" w:color="000000" w:sz="4" w:space="0"/>
              <w:right w:val="single" w:color="000000" w:sz="4" w:space="0"/>
            </w:tcBorders>
            <w:vAlign w:val="center"/>
          </w:tcPr>
          <w:p w14:paraId="414C6E52">
            <w:pPr>
              <w:widowControl/>
              <w:snapToGrid w:val="0"/>
              <w:jc w:val="center"/>
              <w:rPr>
                <w:rFonts w:hint="eastAsia" w:ascii="宋体" w:hAnsi="宋体" w:eastAsia="宋体" w:cs="宋体"/>
                <w:b w:val="0"/>
                <w:bCs w:val="0"/>
                <w:kern w:val="0"/>
                <w:sz w:val="18"/>
                <w:szCs w:val="18"/>
                <w:lang w:val="en-US" w:eastAsia="zh-CN" w:bidi="ar-SA"/>
              </w:rPr>
            </w:pPr>
          </w:p>
        </w:tc>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AF5AD96">
            <w:pPr>
              <w:widowControl/>
              <w:snapToGrid w:val="0"/>
              <w:jc w:val="center"/>
              <w:rPr>
                <w:rFonts w:hint="eastAsia" w:ascii="宋体" w:hAnsi="宋体" w:eastAsia="宋体" w:cs="宋体"/>
                <w:b w:val="0"/>
                <w:bCs w:val="0"/>
                <w:kern w:val="0"/>
                <w:sz w:val="18"/>
                <w:szCs w:val="18"/>
                <w:lang w:val="en-US" w:eastAsia="zh-CN" w:bidi="ar-SA"/>
              </w:rPr>
            </w:pPr>
          </w:p>
        </w:tc>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60D34AB6">
            <w:pPr>
              <w:widowControl/>
              <w:snapToGrid w:val="0"/>
              <w:jc w:val="center"/>
              <w:rPr>
                <w:rFonts w:hint="eastAsia" w:ascii="宋体" w:hAnsi="宋体" w:eastAsia="宋体" w:cs="宋体"/>
                <w:b w:val="0"/>
                <w:bCs w:val="0"/>
                <w:kern w:val="0"/>
                <w:sz w:val="18"/>
                <w:szCs w:val="18"/>
                <w:lang w:val="en-US" w:eastAsia="zh-CN" w:bidi="ar-SA"/>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918FA09">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秋</w:t>
            </w:r>
          </w:p>
        </w:tc>
        <w:tc>
          <w:tcPr>
            <w:tcW w:w="480" w:type="dxa"/>
            <w:tcBorders>
              <w:top w:val="single" w:color="000000" w:sz="4" w:space="0"/>
              <w:left w:val="single" w:color="000000" w:sz="4" w:space="0"/>
              <w:bottom w:val="single" w:color="000000" w:sz="4" w:space="0"/>
              <w:right w:val="single" w:color="000000" w:sz="4" w:space="0"/>
            </w:tcBorders>
            <w:vAlign w:val="center"/>
          </w:tcPr>
          <w:p w14:paraId="76CDA1B2">
            <w:pPr>
              <w:widowControl/>
              <w:snapToGrid w:val="0"/>
              <w:jc w:val="center"/>
              <w:rPr>
                <w:rFonts w:hint="eastAsia" w:ascii="宋体" w:hAnsi="宋体" w:eastAsia="宋体" w:cs="宋体"/>
                <w:b/>
                <w:bCs/>
                <w:kern w:val="0"/>
                <w:sz w:val="18"/>
                <w:szCs w:val="18"/>
                <w:lang w:val="en-US" w:eastAsia="zh-CN" w:bidi="ar-SA"/>
              </w:rPr>
            </w:pPr>
            <w:r>
              <w:rPr>
                <w:rFonts w:hint="eastAsia" w:ascii="宋体" w:hAnsi="宋体" w:eastAsia="宋体" w:cs="宋体"/>
                <w:b/>
                <w:bCs/>
                <w:kern w:val="0"/>
                <w:sz w:val="18"/>
                <w:szCs w:val="18"/>
                <w:lang w:val="en-US" w:eastAsia="zh-CN" w:bidi="ar-SA"/>
              </w:rPr>
              <w:t>春</w:t>
            </w: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78DAECE">
            <w:pPr>
              <w:widowControl/>
              <w:snapToGrid w:val="0"/>
              <w:jc w:val="center"/>
              <w:rPr>
                <w:rFonts w:hint="eastAsia" w:ascii="宋体" w:hAnsi="宋体" w:eastAsia="宋体" w:cs="宋体"/>
                <w:b w:val="0"/>
                <w:bCs w:val="0"/>
                <w:kern w:val="0"/>
                <w:sz w:val="18"/>
                <w:szCs w:val="18"/>
                <w:lang w:val="en-US" w:eastAsia="zh-CN" w:bidi="ar-SA"/>
              </w:rPr>
            </w:pPr>
          </w:p>
        </w:tc>
        <w:tc>
          <w:tcPr>
            <w:tcW w:w="1120" w:type="dxa"/>
            <w:vMerge w:val="continue"/>
            <w:tcBorders>
              <w:top w:val="single" w:color="000000" w:sz="4" w:space="0"/>
              <w:left w:val="single" w:color="000000" w:sz="4" w:space="0"/>
              <w:bottom w:val="single" w:color="000000" w:sz="4" w:space="0"/>
              <w:right w:val="single" w:color="000000" w:sz="4" w:space="0"/>
            </w:tcBorders>
            <w:vAlign w:val="center"/>
          </w:tcPr>
          <w:p w14:paraId="5BD7FE8C">
            <w:pPr>
              <w:widowControl/>
              <w:snapToGrid w:val="0"/>
              <w:jc w:val="center"/>
              <w:rPr>
                <w:rFonts w:hint="eastAsia" w:ascii="宋体" w:hAnsi="宋体" w:eastAsia="宋体" w:cs="宋体"/>
                <w:b w:val="0"/>
                <w:bCs w:val="0"/>
                <w:kern w:val="0"/>
                <w:sz w:val="18"/>
                <w:szCs w:val="18"/>
                <w:lang w:val="en-US" w:eastAsia="zh-CN" w:bidi="ar-SA"/>
              </w:rPr>
            </w:pPr>
          </w:p>
        </w:tc>
      </w:tr>
      <w:tr w14:paraId="6025A3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940" w:type="dxa"/>
            <w:vMerge w:val="restart"/>
            <w:tcBorders>
              <w:top w:val="single" w:color="000000" w:sz="4" w:space="0"/>
              <w:left w:val="single" w:color="000000" w:sz="4" w:space="0"/>
              <w:bottom w:val="single" w:color="000000" w:sz="4" w:space="0"/>
              <w:right w:val="single" w:color="000000" w:sz="4" w:space="0"/>
            </w:tcBorders>
            <w:vAlign w:val="center"/>
          </w:tcPr>
          <w:p w14:paraId="7EA10FA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素养提升平台</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14:paraId="07AD5BAE">
            <w:pPr>
              <w:widowControl/>
              <w:snapToGrid w:val="0"/>
              <w:jc w:val="center"/>
              <w:rPr>
                <w:rFonts w:hint="eastAsia" w:ascii="宋体" w:hAnsi="宋体" w:eastAsia="宋体" w:cs="宋体"/>
                <w:b w:val="0"/>
                <w:bCs w:val="0"/>
                <w:kern w:val="0"/>
                <w:sz w:val="18"/>
                <w:szCs w:val="18"/>
                <w:lang w:val="en-US" w:eastAsia="zh-CN" w:bidi="ar-SA"/>
              </w:rPr>
            </w:pPr>
          </w:p>
          <w:p w14:paraId="1F8BD063">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政治素养</w:t>
            </w:r>
          </w:p>
        </w:tc>
        <w:tc>
          <w:tcPr>
            <w:tcW w:w="1016" w:type="dxa"/>
            <w:tcBorders>
              <w:top w:val="single" w:color="000000" w:sz="4" w:space="0"/>
              <w:left w:val="single" w:color="000000" w:sz="4" w:space="0"/>
              <w:bottom w:val="single" w:color="000000" w:sz="4" w:space="0"/>
              <w:right w:val="single" w:color="000000" w:sz="4" w:space="0"/>
            </w:tcBorders>
            <w:vAlign w:val="center"/>
          </w:tcPr>
          <w:p w14:paraId="3E61B6AA">
            <w:pPr>
              <w:widowControl/>
              <w:snapToGrid w:val="0"/>
              <w:spacing w:line="288" w:lineRule="auto"/>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A209002B</w:t>
            </w:r>
          </w:p>
        </w:tc>
        <w:tc>
          <w:tcPr>
            <w:tcW w:w="2608" w:type="dxa"/>
            <w:tcBorders>
              <w:top w:val="single" w:color="000000" w:sz="4" w:space="0"/>
              <w:left w:val="single" w:color="000000" w:sz="4" w:space="0"/>
              <w:bottom w:val="single" w:color="000000" w:sz="4" w:space="0"/>
              <w:right w:val="single" w:color="000000" w:sz="4" w:space="0"/>
            </w:tcBorders>
            <w:vAlign w:val="center"/>
          </w:tcPr>
          <w:p w14:paraId="777FA6C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中国特色社会主义理论与实践研究</w:t>
            </w:r>
          </w:p>
        </w:tc>
        <w:tc>
          <w:tcPr>
            <w:tcW w:w="636" w:type="dxa"/>
            <w:tcBorders>
              <w:top w:val="single" w:color="000000" w:sz="4" w:space="0"/>
              <w:left w:val="single" w:color="000000" w:sz="4" w:space="0"/>
              <w:bottom w:val="single" w:color="000000" w:sz="4" w:space="0"/>
              <w:right w:val="single" w:color="000000" w:sz="4" w:space="0"/>
            </w:tcBorders>
            <w:vAlign w:val="center"/>
          </w:tcPr>
          <w:p w14:paraId="3F76B71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vAlign w:val="center"/>
          </w:tcPr>
          <w:p w14:paraId="131D575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vAlign w:val="center"/>
          </w:tcPr>
          <w:p w14:paraId="01802D4C">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2D2BE745">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19A74AC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考试</w:t>
            </w:r>
          </w:p>
        </w:tc>
        <w:tc>
          <w:tcPr>
            <w:tcW w:w="1120" w:type="dxa"/>
            <w:vMerge w:val="restart"/>
            <w:tcBorders>
              <w:top w:val="single" w:color="000000" w:sz="4" w:space="0"/>
              <w:left w:val="single" w:color="000000" w:sz="4" w:space="0"/>
              <w:right w:val="single" w:color="000000" w:sz="4" w:space="0"/>
            </w:tcBorders>
            <w:vAlign w:val="center"/>
          </w:tcPr>
          <w:p w14:paraId="65CED4B3">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w:t>
            </w:r>
          </w:p>
        </w:tc>
      </w:tr>
      <w:tr w14:paraId="12F8278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940" w:type="dxa"/>
            <w:vMerge w:val="continue"/>
            <w:tcBorders>
              <w:top w:val="single" w:color="000000" w:sz="4" w:space="0"/>
              <w:left w:val="single" w:color="000000" w:sz="4" w:space="0"/>
              <w:bottom w:val="single" w:color="000000" w:sz="4" w:space="0"/>
              <w:right w:val="single" w:color="000000" w:sz="4" w:space="0"/>
            </w:tcBorders>
            <w:vAlign w:val="center"/>
          </w:tcPr>
          <w:p w14:paraId="387D3640">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14:paraId="1D340E7A">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E205533">
            <w:pPr>
              <w:widowControl/>
              <w:snapToGrid w:val="0"/>
              <w:spacing w:line="288" w:lineRule="auto"/>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A209004B</w:t>
            </w:r>
          </w:p>
        </w:tc>
        <w:tc>
          <w:tcPr>
            <w:tcW w:w="2608" w:type="dxa"/>
            <w:tcBorders>
              <w:top w:val="single" w:color="000000" w:sz="4" w:space="0"/>
              <w:left w:val="single" w:color="000000" w:sz="4" w:space="0"/>
              <w:bottom w:val="single" w:color="000000" w:sz="4" w:space="0"/>
              <w:right w:val="single" w:color="000000" w:sz="4" w:space="0"/>
            </w:tcBorders>
            <w:vAlign w:val="center"/>
          </w:tcPr>
          <w:p w14:paraId="0E1CA09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自然辩证法概论</w:t>
            </w:r>
          </w:p>
        </w:tc>
        <w:tc>
          <w:tcPr>
            <w:tcW w:w="636" w:type="dxa"/>
            <w:tcBorders>
              <w:top w:val="single" w:color="000000" w:sz="4" w:space="0"/>
              <w:left w:val="single" w:color="000000" w:sz="4" w:space="0"/>
              <w:bottom w:val="single" w:color="000000" w:sz="4" w:space="0"/>
              <w:right w:val="single" w:color="000000" w:sz="4" w:space="0"/>
            </w:tcBorders>
            <w:vAlign w:val="center"/>
          </w:tcPr>
          <w:p w14:paraId="65DB8C1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440824B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7F27E50A">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4724F5A7">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E2C6B5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考试</w:t>
            </w:r>
          </w:p>
        </w:tc>
        <w:tc>
          <w:tcPr>
            <w:tcW w:w="1120" w:type="dxa"/>
            <w:vMerge w:val="continue"/>
            <w:tcBorders>
              <w:left w:val="single" w:color="000000" w:sz="4" w:space="0"/>
              <w:bottom w:val="single" w:color="000000" w:sz="4" w:space="0"/>
              <w:right w:val="single" w:color="000000" w:sz="4" w:space="0"/>
            </w:tcBorders>
            <w:vAlign w:val="center"/>
          </w:tcPr>
          <w:p w14:paraId="3FC87331">
            <w:pPr>
              <w:widowControl/>
              <w:snapToGrid w:val="0"/>
              <w:jc w:val="center"/>
              <w:rPr>
                <w:rFonts w:hint="eastAsia" w:ascii="宋体" w:hAnsi="宋体" w:eastAsia="宋体" w:cs="宋体"/>
                <w:b w:val="0"/>
                <w:bCs w:val="0"/>
                <w:kern w:val="0"/>
                <w:sz w:val="18"/>
                <w:szCs w:val="18"/>
                <w:lang w:val="en-US" w:eastAsia="zh-CN" w:bidi="ar-SA"/>
              </w:rPr>
            </w:pPr>
          </w:p>
        </w:tc>
      </w:tr>
      <w:tr w14:paraId="0A40AD2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top w:val="single" w:color="000000" w:sz="4" w:space="0"/>
              <w:left w:val="single" w:color="000000" w:sz="4" w:space="0"/>
              <w:bottom w:val="single" w:color="000000" w:sz="4" w:space="0"/>
              <w:right w:val="single" w:color="000000" w:sz="4" w:space="0"/>
            </w:tcBorders>
            <w:vAlign w:val="center"/>
          </w:tcPr>
          <w:p w14:paraId="6E807A76">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restart"/>
            <w:tcBorders>
              <w:top w:val="single" w:color="000000" w:sz="4" w:space="0"/>
              <w:left w:val="single" w:color="000000" w:sz="4" w:space="0"/>
              <w:right w:val="single" w:color="000000" w:sz="4" w:space="0"/>
            </w:tcBorders>
            <w:vAlign w:val="center"/>
          </w:tcPr>
          <w:p w14:paraId="1736037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综合素养课程</w:t>
            </w:r>
          </w:p>
        </w:tc>
        <w:tc>
          <w:tcPr>
            <w:tcW w:w="1016" w:type="dxa"/>
            <w:tcBorders>
              <w:top w:val="single" w:color="000000" w:sz="4" w:space="0"/>
              <w:left w:val="single" w:color="000000" w:sz="4" w:space="0"/>
              <w:bottom w:val="single" w:color="000000" w:sz="4" w:space="0"/>
              <w:right w:val="single" w:color="000000" w:sz="4" w:space="0"/>
            </w:tcBorders>
            <w:vAlign w:val="center"/>
          </w:tcPr>
          <w:p w14:paraId="65EEA23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A226001B/</w:t>
            </w:r>
          </w:p>
          <w:p w14:paraId="4C007638">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A230007B</w:t>
            </w:r>
          </w:p>
        </w:tc>
        <w:tc>
          <w:tcPr>
            <w:tcW w:w="2608" w:type="dxa"/>
            <w:tcBorders>
              <w:top w:val="single" w:color="000000" w:sz="4" w:space="0"/>
              <w:left w:val="single" w:color="000000" w:sz="4" w:space="0"/>
              <w:bottom w:val="single" w:color="000000" w:sz="4" w:space="0"/>
              <w:right w:val="single" w:color="000000" w:sz="4" w:space="0"/>
            </w:tcBorders>
            <w:vAlign w:val="center"/>
          </w:tcPr>
          <w:p w14:paraId="1729C3A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信息检索/</w:t>
            </w:r>
          </w:p>
          <w:p w14:paraId="278A86B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文献管理与信息分析（在线课程）</w:t>
            </w:r>
          </w:p>
        </w:tc>
        <w:tc>
          <w:tcPr>
            <w:tcW w:w="636" w:type="dxa"/>
            <w:tcBorders>
              <w:top w:val="single" w:color="000000" w:sz="4" w:space="0"/>
              <w:left w:val="single" w:color="000000" w:sz="4" w:space="0"/>
              <w:bottom w:val="single" w:color="000000" w:sz="4" w:space="0"/>
              <w:right w:val="single" w:color="000000" w:sz="4" w:space="0"/>
            </w:tcBorders>
            <w:vAlign w:val="center"/>
          </w:tcPr>
          <w:p w14:paraId="51984228">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073CF3D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26C0BE54">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7D62F563">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503A64A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考试</w:t>
            </w:r>
          </w:p>
        </w:tc>
        <w:tc>
          <w:tcPr>
            <w:tcW w:w="1120" w:type="dxa"/>
            <w:vMerge w:val="restart"/>
            <w:tcBorders>
              <w:top w:val="single" w:color="000000" w:sz="4" w:space="0"/>
              <w:left w:val="single" w:color="000000" w:sz="4" w:space="0"/>
              <w:right w:val="single" w:color="000000" w:sz="4" w:space="0"/>
            </w:tcBorders>
            <w:vAlign w:val="center"/>
          </w:tcPr>
          <w:p w14:paraId="0A6B722B">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w:t>
            </w:r>
          </w:p>
        </w:tc>
      </w:tr>
      <w:tr w14:paraId="56537E9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40" w:type="dxa"/>
            <w:vMerge w:val="continue"/>
            <w:tcBorders>
              <w:top w:val="single" w:color="000000" w:sz="4" w:space="0"/>
              <w:left w:val="single" w:color="000000" w:sz="4" w:space="0"/>
              <w:bottom w:val="single" w:color="000000" w:sz="4" w:space="0"/>
              <w:right w:val="single" w:color="000000" w:sz="4" w:space="0"/>
            </w:tcBorders>
            <w:vAlign w:val="center"/>
          </w:tcPr>
          <w:p w14:paraId="5C4E29C1">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bottom w:val="single" w:color="000000" w:sz="4" w:space="0"/>
              <w:right w:val="single" w:color="000000" w:sz="4" w:space="0"/>
            </w:tcBorders>
            <w:vAlign w:val="center"/>
          </w:tcPr>
          <w:p w14:paraId="3F50DCDB">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70DD8914">
            <w:pPr>
              <w:widowControl/>
              <w:snapToGrid w:val="0"/>
              <w:jc w:val="center"/>
              <w:rPr>
                <w:rFonts w:hint="eastAsia" w:ascii="宋体" w:hAnsi="宋体" w:eastAsia="宋体" w:cs="宋体"/>
                <w:b w:val="0"/>
                <w:bCs w:val="0"/>
                <w:color w:val="auto"/>
                <w:kern w:val="0"/>
                <w:sz w:val="18"/>
                <w:szCs w:val="18"/>
                <w:lang w:val="en-US" w:eastAsia="zh-CN" w:bidi="ar-SA"/>
              </w:rPr>
            </w:pPr>
            <w:r>
              <w:rPr>
                <w:rFonts w:hint="eastAsia" w:cs="宋体" w:asciiTheme="minorEastAsia" w:hAnsiTheme="minorEastAsia" w:eastAsiaTheme="minorEastAsia"/>
                <w:color w:val="auto"/>
                <w:kern w:val="0"/>
                <w:sz w:val="18"/>
                <w:szCs w:val="18"/>
              </w:rPr>
              <w:t>A212003B</w:t>
            </w:r>
          </w:p>
        </w:tc>
        <w:tc>
          <w:tcPr>
            <w:tcW w:w="2608" w:type="dxa"/>
            <w:tcBorders>
              <w:top w:val="single" w:color="000000" w:sz="4" w:space="0"/>
              <w:left w:val="single" w:color="000000" w:sz="4" w:space="0"/>
              <w:bottom w:val="single" w:color="000000" w:sz="4" w:space="0"/>
              <w:right w:val="single" w:color="000000" w:sz="4" w:space="0"/>
            </w:tcBorders>
            <w:vAlign w:val="center"/>
          </w:tcPr>
          <w:p w14:paraId="482AFEEB">
            <w:pPr>
              <w:widowControl/>
              <w:snapToGrid w:val="0"/>
              <w:jc w:val="center"/>
              <w:rPr>
                <w:rFonts w:hint="eastAsia" w:ascii="宋体" w:hAnsi="宋体" w:eastAsia="宋体" w:cs="宋体"/>
                <w:b w:val="0"/>
                <w:bCs w:val="0"/>
                <w:color w:val="auto"/>
                <w:kern w:val="0"/>
                <w:sz w:val="18"/>
                <w:szCs w:val="18"/>
                <w:lang w:val="en-US" w:eastAsia="zh-CN" w:bidi="ar-SA"/>
              </w:rPr>
            </w:pPr>
            <w:r>
              <w:rPr>
                <w:rFonts w:hint="eastAsia" w:ascii="宋体" w:hAnsi="宋体" w:eastAsia="宋体" w:cs="宋体"/>
                <w:b w:val="0"/>
                <w:bCs w:val="0"/>
                <w:color w:val="auto"/>
                <w:kern w:val="0"/>
                <w:sz w:val="18"/>
                <w:szCs w:val="18"/>
                <w:lang w:val="en-US" w:eastAsia="zh-CN" w:bidi="ar-SA"/>
              </w:rPr>
              <w:t>就业指导与职业生涯规划</w:t>
            </w:r>
          </w:p>
        </w:tc>
        <w:tc>
          <w:tcPr>
            <w:tcW w:w="636" w:type="dxa"/>
            <w:tcBorders>
              <w:top w:val="single" w:color="000000" w:sz="4" w:space="0"/>
              <w:left w:val="single" w:color="000000" w:sz="4" w:space="0"/>
              <w:bottom w:val="single" w:color="000000" w:sz="4" w:space="0"/>
              <w:right w:val="single" w:color="000000" w:sz="4" w:space="0"/>
            </w:tcBorders>
            <w:vAlign w:val="center"/>
          </w:tcPr>
          <w:p w14:paraId="2C81E7F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0B6AB6E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3FC41B5B">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64DEF44B">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7599CF9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bottom w:val="single" w:color="000000" w:sz="4" w:space="0"/>
              <w:right w:val="single" w:color="000000" w:sz="4" w:space="0"/>
            </w:tcBorders>
            <w:vAlign w:val="center"/>
          </w:tcPr>
          <w:p w14:paraId="4885112F">
            <w:pPr>
              <w:widowControl/>
              <w:snapToGrid w:val="0"/>
              <w:jc w:val="center"/>
              <w:rPr>
                <w:rFonts w:hint="eastAsia" w:ascii="宋体" w:hAnsi="宋体" w:eastAsia="宋体" w:cs="宋体"/>
                <w:b w:val="0"/>
                <w:bCs w:val="0"/>
                <w:kern w:val="0"/>
                <w:sz w:val="18"/>
                <w:szCs w:val="18"/>
                <w:lang w:val="en-US" w:eastAsia="zh-CN" w:bidi="ar-SA"/>
              </w:rPr>
            </w:pPr>
          </w:p>
        </w:tc>
      </w:tr>
      <w:tr w14:paraId="4D24B12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top w:val="single" w:color="000000" w:sz="4" w:space="0"/>
              <w:left w:val="single" w:color="000000" w:sz="4" w:space="0"/>
              <w:bottom w:val="single" w:color="auto" w:sz="4" w:space="0"/>
              <w:right w:val="single" w:color="000000" w:sz="4" w:space="0"/>
            </w:tcBorders>
            <w:vAlign w:val="center"/>
          </w:tcPr>
          <w:p w14:paraId="1184C12E">
            <w:pPr>
              <w:widowControl/>
              <w:snapToGrid w:val="0"/>
              <w:jc w:val="center"/>
              <w:rPr>
                <w:rFonts w:hint="eastAsia" w:ascii="宋体" w:hAnsi="宋体" w:eastAsia="宋体" w:cs="宋体"/>
                <w:b w:val="0"/>
                <w:bCs w:val="0"/>
                <w:kern w:val="0"/>
                <w:sz w:val="18"/>
                <w:szCs w:val="18"/>
                <w:lang w:val="en-US" w:eastAsia="zh-CN" w:bidi="ar-SA"/>
              </w:rPr>
            </w:pPr>
          </w:p>
        </w:tc>
        <w:tc>
          <w:tcPr>
            <w:tcW w:w="884" w:type="dxa"/>
            <w:tcBorders>
              <w:top w:val="single" w:color="000000" w:sz="4" w:space="0"/>
              <w:left w:val="single" w:color="000000" w:sz="4" w:space="0"/>
              <w:bottom w:val="single" w:color="auto" w:sz="4" w:space="0"/>
              <w:right w:val="single" w:color="000000" w:sz="4" w:space="0"/>
            </w:tcBorders>
            <w:vAlign w:val="center"/>
          </w:tcPr>
          <w:p w14:paraId="3F1FE0D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综合素养实践</w:t>
            </w:r>
          </w:p>
        </w:tc>
        <w:tc>
          <w:tcPr>
            <w:tcW w:w="1016" w:type="dxa"/>
            <w:tcBorders>
              <w:top w:val="single" w:color="000000" w:sz="4" w:space="0"/>
              <w:left w:val="single" w:color="000000" w:sz="4" w:space="0"/>
              <w:bottom w:val="single" w:color="000000" w:sz="4" w:space="0"/>
              <w:right w:val="single" w:color="000000" w:sz="4" w:space="0"/>
            </w:tcBorders>
            <w:vAlign w:val="center"/>
          </w:tcPr>
          <w:p w14:paraId="52A946EC">
            <w:pPr>
              <w:widowControl/>
              <w:snapToGrid w:val="0"/>
              <w:jc w:val="center"/>
              <w:rPr>
                <w:rFonts w:hint="eastAsia" w:ascii="宋体" w:hAnsi="宋体" w:eastAsia="宋体" w:cs="宋体"/>
                <w:b w:val="0"/>
                <w:bCs w:val="0"/>
                <w:kern w:val="0"/>
                <w:sz w:val="18"/>
                <w:szCs w:val="18"/>
                <w:lang w:val="en-US" w:eastAsia="zh-CN" w:bidi="ar-SA"/>
              </w:rPr>
            </w:pPr>
          </w:p>
        </w:tc>
        <w:tc>
          <w:tcPr>
            <w:tcW w:w="2608" w:type="dxa"/>
            <w:tcBorders>
              <w:top w:val="single" w:color="000000" w:sz="4" w:space="0"/>
              <w:left w:val="single" w:color="000000" w:sz="4" w:space="0"/>
              <w:bottom w:val="single" w:color="000000" w:sz="4" w:space="0"/>
              <w:right w:val="single" w:color="000000" w:sz="4" w:space="0"/>
            </w:tcBorders>
            <w:vAlign w:val="center"/>
          </w:tcPr>
          <w:p w14:paraId="726757F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详见《研究生综合素养实践模块指导意见》</w:t>
            </w:r>
          </w:p>
        </w:tc>
        <w:tc>
          <w:tcPr>
            <w:tcW w:w="636" w:type="dxa"/>
            <w:tcBorders>
              <w:top w:val="single" w:color="000000" w:sz="4" w:space="0"/>
              <w:left w:val="single" w:color="000000" w:sz="4" w:space="0"/>
              <w:bottom w:val="single" w:color="000000" w:sz="4" w:space="0"/>
              <w:right w:val="single" w:color="000000" w:sz="4" w:space="0"/>
            </w:tcBorders>
            <w:vAlign w:val="center"/>
          </w:tcPr>
          <w:p w14:paraId="35D6D63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267EF3A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682BDB99">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3AF79594">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34BEFDE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考试</w:t>
            </w:r>
          </w:p>
        </w:tc>
        <w:tc>
          <w:tcPr>
            <w:tcW w:w="1120" w:type="dxa"/>
            <w:tcBorders>
              <w:top w:val="single" w:color="000000" w:sz="4" w:space="0"/>
              <w:left w:val="single" w:color="000000" w:sz="4" w:space="0"/>
              <w:bottom w:val="single" w:color="000000" w:sz="4" w:space="0"/>
              <w:right w:val="single" w:color="000000" w:sz="4" w:space="0"/>
            </w:tcBorders>
            <w:vAlign w:val="center"/>
          </w:tcPr>
          <w:p w14:paraId="675FC1CF">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r>
      <w:tr w14:paraId="0EE32C8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restart"/>
            <w:tcBorders>
              <w:top w:val="single" w:color="auto" w:sz="4" w:space="0"/>
              <w:left w:val="single" w:color="000000" w:sz="4" w:space="0"/>
              <w:right w:val="single" w:color="000000" w:sz="4" w:space="0"/>
            </w:tcBorders>
            <w:vAlign w:val="center"/>
          </w:tcPr>
          <w:p w14:paraId="091158E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能力提升平台</w:t>
            </w:r>
          </w:p>
        </w:tc>
        <w:tc>
          <w:tcPr>
            <w:tcW w:w="884" w:type="dxa"/>
            <w:vMerge w:val="restart"/>
            <w:tcBorders>
              <w:top w:val="single" w:color="auto" w:sz="4" w:space="0"/>
              <w:left w:val="single" w:color="000000" w:sz="4" w:space="0"/>
              <w:right w:val="single" w:color="000000" w:sz="4" w:space="0"/>
            </w:tcBorders>
            <w:vAlign w:val="center"/>
          </w:tcPr>
          <w:p w14:paraId="249D91A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语言能力模块</w:t>
            </w:r>
          </w:p>
        </w:tc>
        <w:tc>
          <w:tcPr>
            <w:tcW w:w="1016" w:type="dxa"/>
            <w:tcBorders>
              <w:top w:val="single" w:color="000000" w:sz="4" w:space="0"/>
              <w:left w:val="single" w:color="000000" w:sz="4" w:space="0"/>
              <w:bottom w:val="single" w:color="000000" w:sz="4" w:space="0"/>
              <w:right w:val="single" w:color="000000" w:sz="4" w:space="0"/>
            </w:tcBorders>
            <w:vAlign w:val="center"/>
          </w:tcPr>
          <w:p w14:paraId="5C4D72EC">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A212002B</w:t>
            </w:r>
          </w:p>
        </w:tc>
        <w:tc>
          <w:tcPr>
            <w:tcW w:w="2608" w:type="dxa"/>
            <w:tcBorders>
              <w:top w:val="single" w:color="000000" w:sz="4" w:space="0"/>
              <w:left w:val="single" w:color="000000" w:sz="4" w:space="0"/>
              <w:bottom w:val="single" w:color="000000" w:sz="4" w:space="0"/>
              <w:right w:val="single" w:color="000000" w:sz="4" w:space="0"/>
            </w:tcBorders>
            <w:vAlign w:val="center"/>
          </w:tcPr>
          <w:p w14:paraId="1328038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中国语言文化</w:t>
            </w:r>
          </w:p>
        </w:tc>
        <w:tc>
          <w:tcPr>
            <w:tcW w:w="636" w:type="dxa"/>
            <w:tcBorders>
              <w:top w:val="single" w:color="000000" w:sz="4" w:space="0"/>
              <w:left w:val="single" w:color="000000" w:sz="4" w:space="0"/>
              <w:bottom w:val="single" w:color="000000" w:sz="4" w:space="0"/>
              <w:right w:val="single" w:color="000000" w:sz="4" w:space="0"/>
            </w:tcBorders>
            <w:vAlign w:val="center"/>
          </w:tcPr>
          <w:p w14:paraId="192AC82E">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vAlign w:val="center"/>
          </w:tcPr>
          <w:p w14:paraId="16C0805C">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vAlign w:val="center"/>
          </w:tcPr>
          <w:p w14:paraId="43E3D29A">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2E6BE1A2">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4A0E01A1">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restart"/>
            <w:tcBorders>
              <w:top w:val="single" w:color="000000" w:sz="4" w:space="0"/>
              <w:left w:val="single" w:color="000000" w:sz="4" w:space="0"/>
              <w:right w:val="single" w:color="000000" w:sz="4" w:space="0"/>
            </w:tcBorders>
            <w:vAlign w:val="center"/>
          </w:tcPr>
          <w:p w14:paraId="3313E24D">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4</w:t>
            </w:r>
          </w:p>
        </w:tc>
      </w:tr>
      <w:tr w14:paraId="539CA3B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left w:val="single" w:color="000000" w:sz="4" w:space="0"/>
              <w:bottom w:val="single" w:color="000000" w:sz="4" w:space="0"/>
              <w:right w:val="single" w:color="000000" w:sz="4" w:space="0"/>
            </w:tcBorders>
            <w:vAlign w:val="center"/>
          </w:tcPr>
          <w:p w14:paraId="4954779B">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bottom w:val="single" w:color="000000" w:sz="4" w:space="0"/>
              <w:right w:val="single" w:color="000000" w:sz="4" w:space="0"/>
            </w:tcBorders>
            <w:vAlign w:val="center"/>
          </w:tcPr>
          <w:p w14:paraId="5C11AF1D">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3D665ECD">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0F8203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翻译硕士毕业论文写作</w:t>
            </w:r>
          </w:p>
        </w:tc>
        <w:tc>
          <w:tcPr>
            <w:tcW w:w="636" w:type="dxa"/>
            <w:tcBorders>
              <w:top w:val="single" w:color="000000" w:sz="4" w:space="0"/>
              <w:left w:val="single" w:color="000000" w:sz="4" w:space="0"/>
              <w:bottom w:val="single" w:color="000000" w:sz="4" w:space="0"/>
              <w:right w:val="single" w:color="000000" w:sz="4" w:space="0"/>
            </w:tcBorders>
            <w:vAlign w:val="center"/>
          </w:tcPr>
          <w:p w14:paraId="461FB78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vAlign w:val="center"/>
          </w:tcPr>
          <w:p w14:paraId="0422FAF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vAlign w:val="center"/>
          </w:tcPr>
          <w:p w14:paraId="223ADDFB">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563A0D1B">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18C99E3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bottom w:val="single" w:color="000000" w:sz="4" w:space="0"/>
              <w:right w:val="single" w:color="000000" w:sz="4" w:space="0"/>
            </w:tcBorders>
            <w:vAlign w:val="center"/>
          </w:tcPr>
          <w:p w14:paraId="043A34A9">
            <w:pPr>
              <w:widowControl/>
              <w:snapToGrid w:val="0"/>
              <w:jc w:val="center"/>
              <w:rPr>
                <w:rFonts w:hint="eastAsia" w:ascii="宋体" w:hAnsi="宋体" w:eastAsia="宋体" w:cs="宋体"/>
                <w:b w:val="0"/>
                <w:bCs w:val="0"/>
                <w:kern w:val="0"/>
                <w:sz w:val="18"/>
                <w:szCs w:val="18"/>
                <w:lang w:val="en-US" w:eastAsia="zh-CN" w:bidi="ar-SA"/>
              </w:rPr>
            </w:pPr>
          </w:p>
        </w:tc>
      </w:tr>
      <w:tr w14:paraId="011094F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40" w:type="dxa"/>
            <w:vMerge w:val="restart"/>
            <w:tcBorders>
              <w:top w:val="single" w:color="000000" w:sz="4" w:space="0"/>
              <w:left w:val="single" w:color="000000" w:sz="4" w:space="0"/>
              <w:right w:val="single" w:color="000000" w:sz="4" w:space="0"/>
            </w:tcBorders>
            <w:vAlign w:val="center"/>
          </w:tcPr>
          <w:p w14:paraId="6D7EBC6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专业深造平台</w:t>
            </w:r>
          </w:p>
        </w:tc>
        <w:tc>
          <w:tcPr>
            <w:tcW w:w="884" w:type="dxa"/>
            <w:vMerge w:val="restart"/>
            <w:tcBorders>
              <w:top w:val="single" w:color="000000" w:sz="4" w:space="0"/>
              <w:left w:val="single" w:color="000000" w:sz="4" w:space="0"/>
              <w:right w:val="single" w:color="000000" w:sz="4" w:space="0"/>
            </w:tcBorders>
            <w:vAlign w:val="center"/>
          </w:tcPr>
          <w:p w14:paraId="796CCDB7">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学科专业核心课</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E18C">
            <w:pPr>
              <w:widowControl/>
              <w:snapToGrid w:val="0"/>
              <w:jc w:val="center"/>
              <w:rPr>
                <w:rFonts w:hint="eastAsia" w:cs="宋体" w:asciiTheme="minorEastAsia" w:hAnsiTheme="minorEastAsia" w:eastAsiaTheme="minorEastAsia"/>
                <w:color w:val="auto"/>
                <w:kern w:val="0"/>
                <w:sz w:val="18"/>
                <w:szCs w:val="18"/>
                <w:lang w:val="en-US" w:eastAsia="zh-CN"/>
              </w:rPr>
            </w:pPr>
            <w:r>
              <w:rPr>
                <w:rFonts w:hint="eastAsia" w:cs="宋体" w:asciiTheme="minorEastAsia" w:hAnsiTheme="minorEastAsia" w:eastAsiaTheme="minorEastAsia"/>
                <w:color w:val="auto"/>
                <w:kern w:val="0"/>
                <w:sz w:val="18"/>
                <w:szCs w:val="18"/>
                <w:lang w:val="en-US" w:eastAsia="zh-CN"/>
              </w:rPr>
              <w:t>M512049B</w:t>
            </w:r>
          </w:p>
        </w:tc>
        <w:tc>
          <w:tcPr>
            <w:tcW w:w="2608" w:type="dxa"/>
            <w:tcBorders>
              <w:top w:val="single" w:color="000000" w:sz="4" w:space="0"/>
              <w:left w:val="single" w:color="000000" w:sz="4" w:space="0"/>
              <w:bottom w:val="single" w:color="000000" w:sz="4" w:space="0"/>
              <w:right w:val="single" w:color="000000" w:sz="4" w:space="0"/>
            </w:tcBorders>
            <w:vAlign w:val="center"/>
          </w:tcPr>
          <w:p w14:paraId="530E1D83">
            <w:pPr>
              <w:widowControl/>
              <w:snapToGrid w:val="0"/>
              <w:jc w:val="center"/>
              <w:rPr>
                <w:rFonts w:hint="eastAsia" w:ascii="宋体" w:hAnsi="宋体" w:eastAsia="宋体" w:cs="宋体"/>
                <w:b w:val="0"/>
                <w:bCs w:val="0"/>
                <w:color w:val="auto"/>
                <w:kern w:val="0"/>
                <w:sz w:val="18"/>
                <w:szCs w:val="18"/>
                <w:lang w:val="en-US" w:eastAsia="zh-CN" w:bidi="ar-SA"/>
              </w:rPr>
            </w:pPr>
            <w:r>
              <w:rPr>
                <w:rFonts w:hint="eastAsia" w:ascii="宋体" w:hAnsi="宋体" w:eastAsia="宋体" w:cs="宋体"/>
                <w:b w:val="0"/>
                <w:bCs w:val="0"/>
                <w:color w:val="auto"/>
                <w:kern w:val="0"/>
                <w:sz w:val="18"/>
                <w:szCs w:val="18"/>
                <w:lang w:val="en-US" w:eastAsia="zh-CN" w:bidi="ar-SA"/>
              </w:rPr>
              <w:t>翻译概论</w:t>
            </w:r>
          </w:p>
        </w:tc>
        <w:tc>
          <w:tcPr>
            <w:tcW w:w="636" w:type="dxa"/>
            <w:tcBorders>
              <w:top w:val="single" w:color="000000" w:sz="4" w:space="0"/>
              <w:left w:val="single" w:color="000000" w:sz="4" w:space="0"/>
              <w:bottom w:val="single" w:color="000000" w:sz="4" w:space="0"/>
              <w:right w:val="single" w:color="000000" w:sz="4" w:space="0"/>
            </w:tcBorders>
            <w:vAlign w:val="center"/>
          </w:tcPr>
          <w:p w14:paraId="0E89AA15">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70E5E986">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677F8905">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vAlign w:val="center"/>
          </w:tcPr>
          <w:p w14:paraId="0C9D8EB7">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0A549F7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restart"/>
            <w:tcBorders>
              <w:top w:val="single" w:color="000000" w:sz="4" w:space="0"/>
              <w:left w:val="single" w:color="000000" w:sz="4" w:space="0"/>
              <w:right w:val="single" w:color="000000" w:sz="4" w:space="0"/>
            </w:tcBorders>
            <w:vAlign w:val="center"/>
          </w:tcPr>
          <w:p w14:paraId="1B1CA50B">
            <w:pPr>
              <w:widowControl/>
              <w:tabs>
                <w:tab w:val="left" w:pos="206"/>
              </w:tabs>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r>
      <w:tr w14:paraId="5E4A8D5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40" w:type="dxa"/>
            <w:vMerge w:val="continue"/>
            <w:tcBorders>
              <w:left w:val="single" w:color="000000" w:sz="4" w:space="0"/>
              <w:right w:val="single" w:color="000000" w:sz="4" w:space="0"/>
            </w:tcBorders>
            <w:vAlign w:val="center"/>
          </w:tcPr>
          <w:p w14:paraId="3AE2C2A3">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0DF1DE0F">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5EF2">
            <w:pPr>
              <w:widowControl/>
              <w:snapToGrid w:val="0"/>
              <w:jc w:val="center"/>
              <w:rPr>
                <w:rFonts w:hint="eastAsia" w:cs="宋体" w:asciiTheme="minorEastAsia" w:hAnsiTheme="minorEastAsia" w:eastAsiaTheme="minorEastAsia"/>
                <w:color w:val="auto"/>
                <w:kern w:val="0"/>
                <w:sz w:val="18"/>
                <w:szCs w:val="18"/>
                <w:lang w:val="en-US" w:eastAsia="zh-CN"/>
              </w:rPr>
            </w:pPr>
            <w:r>
              <w:rPr>
                <w:rFonts w:hint="eastAsia" w:cs="宋体" w:asciiTheme="minorEastAsia" w:hAnsiTheme="minorEastAsia"/>
                <w:color w:val="auto"/>
                <w:kern w:val="0"/>
                <w:sz w:val="18"/>
                <w:szCs w:val="18"/>
                <w:lang w:val="en-US" w:eastAsia="zh-CN"/>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CEF4">
            <w:pPr>
              <w:widowControl/>
              <w:snapToGrid w:val="0"/>
              <w:jc w:val="center"/>
              <w:rPr>
                <w:rFonts w:hint="eastAsia" w:ascii="宋体" w:hAnsi="宋体" w:eastAsia="宋体" w:cs="宋体"/>
                <w:b w:val="0"/>
                <w:bCs w:val="0"/>
                <w:color w:val="auto"/>
                <w:kern w:val="0"/>
                <w:sz w:val="18"/>
                <w:szCs w:val="18"/>
                <w:lang w:val="en-US" w:eastAsia="zh-CN" w:bidi="ar-SA"/>
              </w:rPr>
            </w:pPr>
            <w:r>
              <w:rPr>
                <w:rFonts w:hint="eastAsia" w:ascii="宋体" w:hAnsi="宋体" w:eastAsia="宋体" w:cs="宋体"/>
                <w:b w:val="0"/>
                <w:bCs w:val="0"/>
                <w:color w:val="auto"/>
                <w:kern w:val="0"/>
                <w:sz w:val="18"/>
                <w:szCs w:val="18"/>
                <w:lang w:val="en-US" w:eastAsia="zh-CN" w:bidi="ar-SA"/>
              </w:rPr>
              <w:t>英汉语言对比与翻译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EB9E">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E70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03D7">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2C56">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665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013D6182">
            <w:pPr>
              <w:widowControl/>
              <w:snapToGrid w:val="0"/>
              <w:jc w:val="center"/>
              <w:rPr>
                <w:rFonts w:hint="eastAsia" w:ascii="宋体" w:hAnsi="宋体" w:eastAsia="宋体" w:cs="宋体"/>
                <w:b w:val="0"/>
                <w:bCs w:val="0"/>
                <w:kern w:val="0"/>
                <w:sz w:val="18"/>
                <w:szCs w:val="18"/>
                <w:lang w:val="en-US" w:eastAsia="zh-CN" w:bidi="ar-SA"/>
              </w:rPr>
            </w:pPr>
          </w:p>
        </w:tc>
      </w:tr>
      <w:tr w14:paraId="1C4E236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40" w:type="dxa"/>
            <w:vMerge w:val="continue"/>
            <w:tcBorders>
              <w:left w:val="single" w:color="000000" w:sz="4" w:space="0"/>
              <w:right w:val="single" w:color="000000" w:sz="4" w:space="0"/>
            </w:tcBorders>
            <w:vAlign w:val="center"/>
          </w:tcPr>
          <w:p w14:paraId="3A850612">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11305322">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197F">
            <w:pPr>
              <w:widowControl/>
              <w:snapToGrid w:val="0"/>
              <w:jc w:val="center"/>
              <w:rPr>
                <w:rFonts w:hint="eastAsia" w:cs="宋体" w:asciiTheme="minorEastAsia" w:hAnsiTheme="minorEastAsia" w:eastAsiaTheme="minorEastAsia"/>
                <w:kern w:val="0"/>
                <w:sz w:val="18"/>
                <w:szCs w:val="18"/>
                <w:lang w:val="en-US" w:eastAsia="zh-CN"/>
              </w:rPr>
            </w:pPr>
            <w:r>
              <w:rPr>
                <w:rFonts w:hint="eastAsia" w:cs="宋体" w:asciiTheme="minorEastAsia" w:hAnsiTheme="minorEastAsia"/>
                <w:kern w:val="0"/>
                <w:sz w:val="18"/>
                <w:szCs w:val="18"/>
                <w:lang w:val="en-US" w:eastAsia="zh-CN"/>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939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高级口译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DE4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F9F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1AFC">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AEB2">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D7D0">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60E95CA7">
            <w:pPr>
              <w:widowControl/>
              <w:snapToGrid w:val="0"/>
              <w:jc w:val="center"/>
              <w:rPr>
                <w:rFonts w:hint="eastAsia" w:ascii="宋体" w:hAnsi="宋体" w:eastAsia="宋体" w:cs="宋体"/>
                <w:b w:val="0"/>
                <w:bCs w:val="0"/>
                <w:kern w:val="0"/>
                <w:sz w:val="18"/>
                <w:szCs w:val="18"/>
                <w:lang w:val="en-US" w:eastAsia="zh-CN" w:bidi="ar-SA"/>
              </w:rPr>
            </w:pPr>
          </w:p>
        </w:tc>
      </w:tr>
      <w:tr w14:paraId="7C2D8E9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940" w:type="dxa"/>
            <w:vMerge w:val="continue"/>
            <w:tcBorders>
              <w:left w:val="single" w:color="000000" w:sz="4" w:space="0"/>
              <w:right w:val="single" w:color="000000" w:sz="4" w:space="0"/>
            </w:tcBorders>
            <w:vAlign w:val="center"/>
          </w:tcPr>
          <w:p w14:paraId="08412BAF">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444C288A">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7DB64563">
            <w:pPr>
              <w:widowControl/>
              <w:snapToGrid w:val="0"/>
              <w:jc w:val="center"/>
              <w:rPr>
                <w:rFonts w:hint="eastAsia" w:cs="宋体" w:asciiTheme="minorEastAsia" w:hAnsiTheme="minorEastAsia" w:eastAsiaTheme="minorEastAsia"/>
                <w:color w:val="auto"/>
                <w:kern w:val="0"/>
                <w:sz w:val="18"/>
                <w:szCs w:val="18"/>
                <w:lang w:val="en-US" w:eastAsia="zh-CN"/>
              </w:rPr>
            </w:pPr>
            <w:r>
              <w:rPr>
                <w:rFonts w:hint="eastAsia" w:cs="宋体" w:asciiTheme="minorEastAsia" w:hAnsiTheme="minorEastAsia" w:eastAsiaTheme="minorEastAsia"/>
                <w:color w:val="auto"/>
                <w:kern w:val="0"/>
                <w:sz w:val="18"/>
                <w:szCs w:val="18"/>
              </w:rPr>
              <w:t>M512082B</w:t>
            </w:r>
          </w:p>
        </w:tc>
        <w:tc>
          <w:tcPr>
            <w:tcW w:w="2608" w:type="dxa"/>
            <w:tcBorders>
              <w:top w:val="single" w:color="000000" w:sz="4" w:space="0"/>
              <w:left w:val="single" w:color="000000" w:sz="4" w:space="0"/>
              <w:bottom w:val="single" w:color="000000" w:sz="4" w:space="0"/>
              <w:right w:val="single" w:color="000000" w:sz="4" w:space="0"/>
            </w:tcBorders>
            <w:vAlign w:val="center"/>
          </w:tcPr>
          <w:p w14:paraId="562DC795">
            <w:pPr>
              <w:widowControl/>
              <w:snapToGrid w:val="0"/>
              <w:jc w:val="center"/>
              <w:rPr>
                <w:rFonts w:hint="eastAsia" w:ascii="宋体" w:hAnsi="宋体" w:eastAsia="宋体" w:cs="宋体"/>
                <w:b w:val="0"/>
                <w:bCs w:val="0"/>
                <w:color w:val="auto"/>
                <w:kern w:val="0"/>
                <w:sz w:val="18"/>
                <w:szCs w:val="18"/>
                <w:lang w:val="en-US" w:eastAsia="zh-CN" w:bidi="ar-SA"/>
              </w:rPr>
            </w:pPr>
            <w:r>
              <w:rPr>
                <w:rFonts w:hint="eastAsia" w:ascii="宋体" w:hAnsi="宋体" w:eastAsia="宋体" w:cs="宋体"/>
                <w:b w:val="0"/>
                <w:bCs w:val="0"/>
                <w:color w:val="auto"/>
                <w:kern w:val="0"/>
                <w:sz w:val="18"/>
                <w:szCs w:val="18"/>
                <w:lang w:val="en-US" w:eastAsia="zh-CN" w:bidi="ar-SA"/>
              </w:rPr>
              <w:t>生成式人工智能翻译技术实践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70E6F813">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vAlign w:val="center"/>
          </w:tcPr>
          <w:p w14:paraId="34F48918">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vAlign w:val="center"/>
          </w:tcPr>
          <w:p w14:paraId="7D4FFC5E">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50FCBD63">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0607D2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4139F849">
            <w:pPr>
              <w:widowControl/>
              <w:snapToGrid w:val="0"/>
              <w:jc w:val="center"/>
              <w:rPr>
                <w:rFonts w:hint="eastAsia" w:ascii="宋体" w:hAnsi="宋体" w:eastAsia="宋体" w:cs="宋体"/>
                <w:b w:val="0"/>
                <w:bCs w:val="0"/>
                <w:kern w:val="0"/>
                <w:sz w:val="18"/>
                <w:szCs w:val="18"/>
                <w:lang w:val="en-US" w:eastAsia="zh-CN" w:bidi="ar-SA"/>
              </w:rPr>
            </w:pPr>
          </w:p>
        </w:tc>
      </w:tr>
      <w:tr w14:paraId="53B5283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63E6B75D">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662B1ABD">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203986A2">
            <w:pPr>
              <w:widowControl/>
              <w:snapToGrid w:val="0"/>
              <w:jc w:val="center"/>
              <w:rPr>
                <w:rFonts w:hint="eastAsia" w:cs="宋体" w:asciiTheme="minorEastAsia" w:hAnsiTheme="minorEastAsia"/>
                <w:kern w:val="0"/>
                <w:sz w:val="18"/>
                <w:szCs w:val="18"/>
                <w:lang w:val="en-US" w:eastAsia="zh-CN"/>
              </w:rPr>
            </w:pPr>
            <w:r>
              <w:rPr>
                <w:rFonts w:hint="eastAsia" w:cs="宋体" w:asciiTheme="minorEastAsia" w:hAnsiTheme="minorEastAsia"/>
                <w:kern w:val="0"/>
                <w:sz w:val="18"/>
                <w:szCs w:val="18"/>
                <w:lang w:val="en-US" w:eastAsia="zh-CN"/>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128B0C6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基于人工智能的翻译项目管理</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89F0">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BD11">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620E">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2C86">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436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224DE5E4">
            <w:pPr>
              <w:widowControl/>
              <w:snapToGrid w:val="0"/>
              <w:jc w:val="center"/>
              <w:rPr>
                <w:rFonts w:hint="eastAsia" w:ascii="宋体" w:hAnsi="宋体" w:eastAsia="宋体" w:cs="宋体"/>
                <w:b w:val="0"/>
                <w:bCs w:val="0"/>
                <w:kern w:val="0"/>
                <w:sz w:val="18"/>
                <w:szCs w:val="18"/>
                <w:lang w:val="en-US" w:eastAsia="zh-CN" w:bidi="ar-SA"/>
              </w:rPr>
            </w:pPr>
          </w:p>
        </w:tc>
      </w:tr>
      <w:tr w14:paraId="7952BA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1AB908CB">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075E3839">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4873">
            <w:pPr>
              <w:widowControl/>
              <w:snapToGrid w:val="0"/>
              <w:jc w:val="center"/>
              <w:rPr>
                <w:rFonts w:hint="eastAsia" w:cs="宋体" w:asciiTheme="minorEastAsia" w:hAnsiTheme="minorEastAsia" w:eastAsiaTheme="minorEastAsia"/>
                <w:kern w:val="0"/>
                <w:sz w:val="18"/>
                <w:szCs w:val="18"/>
                <w:lang w:val="en-US" w:eastAsia="zh-CN"/>
              </w:rPr>
            </w:pPr>
            <w:r>
              <w:rPr>
                <w:rFonts w:hint="eastAsia" w:cs="宋体" w:asciiTheme="minorEastAsia" w:hAnsiTheme="minorEastAsia" w:eastAsiaTheme="minorEastAsia"/>
                <w:kern w:val="0"/>
                <w:sz w:val="18"/>
                <w:szCs w:val="18"/>
                <w:lang w:val="en-US" w:eastAsia="zh-CN"/>
              </w:rPr>
              <w:t>M512062B</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5AB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文学翻译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2DC8">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FC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36D6">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1DF3">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FEA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2DF84CA2">
            <w:pPr>
              <w:widowControl/>
              <w:snapToGrid w:val="0"/>
              <w:jc w:val="center"/>
              <w:rPr>
                <w:rFonts w:hint="eastAsia" w:ascii="宋体" w:hAnsi="宋体" w:eastAsia="宋体" w:cs="宋体"/>
                <w:b w:val="0"/>
                <w:bCs w:val="0"/>
                <w:kern w:val="0"/>
                <w:sz w:val="18"/>
                <w:szCs w:val="18"/>
                <w:lang w:val="en-US" w:eastAsia="zh-CN" w:bidi="ar-SA"/>
              </w:rPr>
            </w:pPr>
          </w:p>
        </w:tc>
      </w:tr>
      <w:tr w14:paraId="7B96220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4199195F">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07844246">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895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M512039B</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357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中国典籍翻译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DB4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B12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6D41">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B511">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EFC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17560892">
            <w:pPr>
              <w:widowControl/>
              <w:snapToGrid w:val="0"/>
              <w:jc w:val="center"/>
              <w:rPr>
                <w:rFonts w:hint="eastAsia" w:ascii="宋体" w:hAnsi="宋体" w:eastAsia="宋体" w:cs="宋体"/>
                <w:b w:val="0"/>
                <w:bCs w:val="0"/>
                <w:kern w:val="0"/>
                <w:sz w:val="18"/>
                <w:szCs w:val="18"/>
                <w:lang w:val="en-US" w:eastAsia="zh-CN" w:bidi="ar-SA"/>
              </w:rPr>
            </w:pPr>
          </w:p>
        </w:tc>
      </w:tr>
      <w:tr w14:paraId="5E2B1F5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12DAD39B">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07FB1099">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70A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FF0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中国传统文化翻译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486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16</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A60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F824">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64FF">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DD7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4C13BDE8">
            <w:pPr>
              <w:widowControl/>
              <w:snapToGrid w:val="0"/>
              <w:jc w:val="center"/>
              <w:rPr>
                <w:rFonts w:hint="eastAsia" w:ascii="宋体" w:hAnsi="宋体" w:eastAsia="宋体" w:cs="宋体"/>
                <w:b w:val="0"/>
                <w:bCs w:val="0"/>
                <w:kern w:val="0"/>
                <w:sz w:val="18"/>
                <w:szCs w:val="18"/>
                <w:lang w:val="en-US" w:eastAsia="zh-CN" w:bidi="ar-SA"/>
              </w:rPr>
            </w:pPr>
          </w:p>
        </w:tc>
      </w:tr>
      <w:tr w14:paraId="3165BF7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940" w:type="dxa"/>
            <w:vMerge w:val="continue"/>
            <w:tcBorders>
              <w:left w:val="single" w:color="000000" w:sz="4" w:space="0"/>
              <w:right w:val="single" w:color="000000" w:sz="4" w:space="0"/>
            </w:tcBorders>
            <w:vAlign w:val="center"/>
          </w:tcPr>
          <w:p w14:paraId="6BE5D17C">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restart"/>
            <w:tcBorders>
              <w:top w:val="single" w:color="auto" w:sz="4" w:space="0"/>
              <w:left w:val="single" w:color="000000" w:sz="4" w:space="0"/>
              <w:right w:val="single" w:color="000000" w:sz="4" w:space="0"/>
            </w:tcBorders>
            <w:vAlign w:val="center"/>
          </w:tcPr>
          <w:p w14:paraId="657983D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专业拓展课程</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84C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4A7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铁道技术翻译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2B4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AEA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49F6">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AB45">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82D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restart"/>
            <w:tcBorders>
              <w:top w:val="single" w:color="000000" w:sz="4" w:space="0"/>
              <w:left w:val="single" w:color="000000" w:sz="4" w:space="0"/>
              <w:right w:val="single" w:color="000000" w:sz="4" w:space="0"/>
            </w:tcBorders>
            <w:vAlign w:val="center"/>
          </w:tcPr>
          <w:p w14:paraId="6E65C035">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7</w:t>
            </w:r>
          </w:p>
        </w:tc>
      </w:tr>
      <w:tr w14:paraId="3AB0DD3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0" w:hRule="atLeast"/>
        </w:trPr>
        <w:tc>
          <w:tcPr>
            <w:tcW w:w="940" w:type="dxa"/>
            <w:vMerge w:val="continue"/>
            <w:tcBorders>
              <w:left w:val="single" w:color="000000" w:sz="4" w:space="0"/>
              <w:right w:val="single" w:color="000000" w:sz="4" w:space="0"/>
            </w:tcBorders>
            <w:vAlign w:val="center"/>
          </w:tcPr>
          <w:p w14:paraId="46882462">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6716BB4E">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DD6EEF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BED20E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对外传媒翻译</w:t>
            </w:r>
          </w:p>
        </w:tc>
        <w:tc>
          <w:tcPr>
            <w:tcW w:w="636" w:type="dxa"/>
            <w:tcBorders>
              <w:top w:val="single" w:color="000000" w:sz="4" w:space="0"/>
              <w:left w:val="single" w:color="000000" w:sz="4" w:space="0"/>
              <w:bottom w:val="single" w:color="000000" w:sz="4" w:space="0"/>
              <w:right w:val="single" w:color="000000" w:sz="4" w:space="0"/>
            </w:tcBorders>
            <w:vAlign w:val="center"/>
          </w:tcPr>
          <w:p w14:paraId="17DB6E8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1D93290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63E1D00A">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31388FDB">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6945050B">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375783E7">
            <w:pPr>
              <w:widowControl/>
              <w:snapToGrid w:val="0"/>
              <w:jc w:val="center"/>
              <w:rPr>
                <w:rFonts w:hint="default" w:ascii="宋体" w:hAnsi="宋体" w:eastAsia="宋体" w:cs="宋体"/>
                <w:b w:val="0"/>
                <w:bCs w:val="0"/>
                <w:kern w:val="0"/>
                <w:sz w:val="18"/>
                <w:szCs w:val="18"/>
                <w:lang w:val="en-US" w:eastAsia="zh-CN" w:bidi="ar-SA"/>
              </w:rPr>
            </w:pPr>
          </w:p>
        </w:tc>
      </w:tr>
      <w:tr w14:paraId="210C91A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left w:val="single" w:color="000000" w:sz="4" w:space="0"/>
              <w:right w:val="single" w:color="000000" w:sz="4" w:space="0"/>
            </w:tcBorders>
            <w:vAlign w:val="center"/>
          </w:tcPr>
          <w:p w14:paraId="1AE747F0">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1EF13E88">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8206">
            <w:pPr>
              <w:widowControl/>
              <w:snapToGrid w:val="0"/>
              <w:jc w:val="center"/>
              <w:rPr>
                <w:rFonts w:hint="eastAsia" w:cs="宋体" w:asciiTheme="minorEastAsia" w:hAnsiTheme="minorEastAsia" w:eastAsiaTheme="minorEastAsia"/>
                <w:kern w:val="0"/>
                <w:sz w:val="18"/>
                <w:szCs w:val="18"/>
                <w:lang w:val="en-US" w:eastAsia="zh-CN"/>
              </w:rPr>
            </w:pPr>
            <w:r>
              <w:rPr>
                <w:rFonts w:hint="eastAsia" w:cs="宋体" w:asciiTheme="minorEastAsia" w:hAnsiTheme="minorEastAsia"/>
                <w:kern w:val="0"/>
                <w:sz w:val="18"/>
                <w:szCs w:val="18"/>
                <w:lang w:val="en-US" w:eastAsia="zh-CN"/>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2E8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翻译史研究</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48CA">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9D99">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2F73">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9245">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242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3A9FB7C8">
            <w:pPr>
              <w:widowControl/>
              <w:snapToGrid w:val="0"/>
              <w:jc w:val="center"/>
              <w:rPr>
                <w:rFonts w:hint="eastAsia" w:ascii="宋体" w:hAnsi="宋体" w:eastAsia="宋体" w:cs="宋体"/>
                <w:b w:val="0"/>
                <w:bCs w:val="0"/>
                <w:kern w:val="0"/>
                <w:sz w:val="18"/>
                <w:szCs w:val="18"/>
                <w:lang w:val="en-US" w:eastAsia="zh-CN" w:bidi="ar-SA"/>
              </w:rPr>
            </w:pPr>
          </w:p>
        </w:tc>
      </w:tr>
      <w:tr w14:paraId="1B39469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left w:val="single" w:color="000000" w:sz="4" w:space="0"/>
              <w:right w:val="single" w:color="000000" w:sz="4" w:space="0"/>
            </w:tcBorders>
            <w:vAlign w:val="center"/>
          </w:tcPr>
          <w:p w14:paraId="5C015B2D">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1E8C442B">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54C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A221">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交通翻译</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5953">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DE6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7E50">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ACFC">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E4E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6F6D7500">
            <w:pPr>
              <w:widowControl/>
              <w:snapToGrid w:val="0"/>
              <w:jc w:val="center"/>
              <w:rPr>
                <w:rFonts w:hint="eastAsia" w:ascii="宋体" w:hAnsi="宋体" w:eastAsia="宋体" w:cs="宋体"/>
                <w:b w:val="0"/>
                <w:bCs w:val="0"/>
                <w:kern w:val="0"/>
                <w:sz w:val="18"/>
                <w:szCs w:val="18"/>
                <w:lang w:val="en-US" w:eastAsia="zh-CN" w:bidi="ar-SA"/>
              </w:rPr>
            </w:pPr>
          </w:p>
        </w:tc>
      </w:tr>
      <w:tr w14:paraId="234AC35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left w:val="single" w:color="000000" w:sz="4" w:space="0"/>
              <w:right w:val="single" w:color="000000" w:sz="4" w:space="0"/>
            </w:tcBorders>
            <w:vAlign w:val="center"/>
          </w:tcPr>
          <w:p w14:paraId="78899249">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6A9EA221">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45B6F767">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0CC9D8A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文化遗产翻译</w:t>
            </w:r>
          </w:p>
        </w:tc>
        <w:tc>
          <w:tcPr>
            <w:tcW w:w="636" w:type="dxa"/>
            <w:tcBorders>
              <w:top w:val="single" w:color="000000" w:sz="4" w:space="0"/>
              <w:left w:val="single" w:color="000000" w:sz="4" w:space="0"/>
              <w:bottom w:val="single" w:color="000000" w:sz="4" w:space="0"/>
              <w:right w:val="single" w:color="000000" w:sz="4" w:space="0"/>
            </w:tcBorders>
            <w:vAlign w:val="center"/>
          </w:tcPr>
          <w:p w14:paraId="7A3185EB">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6EE5DEB2">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7EC23C07">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7863FAD5">
            <w:pPr>
              <w:widowControl/>
              <w:snapToGrid w:val="0"/>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2B29350">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58D9A90E">
            <w:pPr>
              <w:widowControl/>
              <w:snapToGrid w:val="0"/>
              <w:jc w:val="center"/>
              <w:rPr>
                <w:rFonts w:hint="eastAsia" w:ascii="宋体" w:hAnsi="宋体" w:eastAsia="宋体" w:cs="宋体"/>
                <w:b w:val="0"/>
                <w:bCs w:val="0"/>
                <w:kern w:val="0"/>
                <w:sz w:val="18"/>
                <w:szCs w:val="18"/>
                <w:lang w:val="en-US" w:eastAsia="zh-CN" w:bidi="ar-SA"/>
              </w:rPr>
            </w:pPr>
          </w:p>
        </w:tc>
      </w:tr>
      <w:tr w14:paraId="69A5C44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trPr>
        <w:tc>
          <w:tcPr>
            <w:tcW w:w="940" w:type="dxa"/>
            <w:vMerge w:val="continue"/>
            <w:tcBorders>
              <w:left w:val="single" w:color="000000" w:sz="4" w:space="0"/>
              <w:right w:val="single" w:color="000000" w:sz="4" w:space="0"/>
            </w:tcBorders>
            <w:vAlign w:val="center"/>
          </w:tcPr>
          <w:p w14:paraId="3513F2EF">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285A3C6F">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715B438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22EF29C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高级笔译与译后校对</w:t>
            </w:r>
          </w:p>
        </w:tc>
        <w:tc>
          <w:tcPr>
            <w:tcW w:w="636" w:type="dxa"/>
            <w:tcBorders>
              <w:top w:val="single" w:color="000000" w:sz="4" w:space="0"/>
              <w:left w:val="single" w:color="000000" w:sz="4" w:space="0"/>
              <w:bottom w:val="single" w:color="000000" w:sz="4" w:space="0"/>
              <w:right w:val="single" w:color="000000" w:sz="4" w:space="0"/>
            </w:tcBorders>
            <w:vAlign w:val="center"/>
          </w:tcPr>
          <w:p w14:paraId="7EE4DEEA">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4F319982">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7E72CFFE">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63CB76A3">
            <w:pPr>
              <w:widowControl/>
              <w:snapToGrid w:val="0"/>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F32FE82">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1A6446E0">
            <w:pPr>
              <w:widowControl/>
              <w:snapToGrid w:val="0"/>
              <w:jc w:val="center"/>
              <w:rPr>
                <w:rFonts w:hint="eastAsia" w:ascii="宋体" w:hAnsi="宋体" w:eastAsia="宋体" w:cs="宋体"/>
                <w:b w:val="0"/>
                <w:bCs w:val="0"/>
                <w:kern w:val="0"/>
                <w:sz w:val="18"/>
                <w:szCs w:val="18"/>
                <w:lang w:val="en-US" w:eastAsia="zh-CN" w:bidi="ar-SA"/>
              </w:rPr>
            </w:pPr>
          </w:p>
        </w:tc>
      </w:tr>
      <w:tr w14:paraId="6075D9D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0EC64994">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0557CCE6">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0809FE71">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16756CE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商业合同翻译</w:t>
            </w:r>
          </w:p>
        </w:tc>
        <w:tc>
          <w:tcPr>
            <w:tcW w:w="636" w:type="dxa"/>
            <w:tcBorders>
              <w:top w:val="single" w:color="000000" w:sz="4" w:space="0"/>
              <w:left w:val="single" w:color="000000" w:sz="4" w:space="0"/>
              <w:bottom w:val="single" w:color="000000" w:sz="4" w:space="0"/>
              <w:right w:val="single" w:color="000000" w:sz="4" w:space="0"/>
            </w:tcBorders>
            <w:vAlign w:val="center"/>
          </w:tcPr>
          <w:p w14:paraId="3953EE4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vAlign w:val="center"/>
          </w:tcPr>
          <w:p w14:paraId="56B26C76">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2.0</w:t>
            </w:r>
          </w:p>
        </w:tc>
        <w:tc>
          <w:tcPr>
            <w:tcW w:w="624" w:type="dxa"/>
            <w:tcBorders>
              <w:top w:val="single" w:color="000000" w:sz="4" w:space="0"/>
              <w:left w:val="single" w:color="000000" w:sz="4" w:space="0"/>
              <w:bottom w:val="single" w:color="000000" w:sz="4" w:space="0"/>
              <w:right w:val="single" w:color="000000" w:sz="4" w:space="0"/>
            </w:tcBorders>
            <w:vAlign w:val="center"/>
          </w:tcPr>
          <w:p w14:paraId="6EEA368D">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2708610D">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725FC8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68DBB8F6">
            <w:pPr>
              <w:widowControl/>
              <w:snapToGrid w:val="0"/>
              <w:jc w:val="center"/>
              <w:rPr>
                <w:rFonts w:hint="eastAsia" w:ascii="宋体" w:hAnsi="宋体" w:eastAsia="宋体" w:cs="宋体"/>
                <w:b w:val="0"/>
                <w:bCs w:val="0"/>
                <w:kern w:val="0"/>
                <w:sz w:val="18"/>
                <w:szCs w:val="18"/>
                <w:lang w:val="en-US" w:eastAsia="zh-CN" w:bidi="ar-SA"/>
              </w:rPr>
            </w:pPr>
          </w:p>
        </w:tc>
      </w:tr>
      <w:tr w14:paraId="7A79FC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6566FA71">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71F4FAAD">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30FA84C5">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475B7BD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语料库驱动的翻译技术与工具</w:t>
            </w:r>
          </w:p>
        </w:tc>
        <w:tc>
          <w:tcPr>
            <w:tcW w:w="636" w:type="dxa"/>
            <w:tcBorders>
              <w:top w:val="single" w:color="000000" w:sz="4" w:space="0"/>
              <w:left w:val="single" w:color="000000" w:sz="4" w:space="0"/>
              <w:bottom w:val="single" w:color="000000" w:sz="4" w:space="0"/>
              <w:right w:val="single" w:color="000000" w:sz="4" w:space="0"/>
            </w:tcBorders>
            <w:vAlign w:val="center"/>
          </w:tcPr>
          <w:p w14:paraId="542D0D9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289465C7">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15FB0B12">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0A899D85">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996BC8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78823BE3">
            <w:pPr>
              <w:widowControl/>
              <w:snapToGrid w:val="0"/>
              <w:jc w:val="center"/>
              <w:rPr>
                <w:rFonts w:hint="eastAsia" w:ascii="宋体" w:hAnsi="宋体" w:eastAsia="宋体" w:cs="宋体"/>
                <w:b w:val="0"/>
                <w:bCs w:val="0"/>
                <w:kern w:val="0"/>
                <w:sz w:val="18"/>
                <w:szCs w:val="18"/>
                <w:lang w:val="en-US" w:eastAsia="zh-CN" w:bidi="ar-SA"/>
              </w:rPr>
            </w:pPr>
          </w:p>
        </w:tc>
      </w:tr>
      <w:tr w14:paraId="53A596F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23F52496">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1E15BC02">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0B9A73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7A5586A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可持续发展报告翻译</w:t>
            </w:r>
          </w:p>
        </w:tc>
        <w:tc>
          <w:tcPr>
            <w:tcW w:w="636" w:type="dxa"/>
            <w:tcBorders>
              <w:top w:val="single" w:color="000000" w:sz="4" w:space="0"/>
              <w:left w:val="single" w:color="000000" w:sz="4" w:space="0"/>
              <w:bottom w:val="single" w:color="000000" w:sz="4" w:space="0"/>
              <w:right w:val="single" w:color="000000" w:sz="4" w:space="0"/>
            </w:tcBorders>
            <w:vAlign w:val="center"/>
          </w:tcPr>
          <w:p w14:paraId="5145935D">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7B2AB63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06F9D64A">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6E8ED767">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2183F5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18AB9C80">
            <w:pPr>
              <w:widowControl/>
              <w:snapToGrid w:val="0"/>
              <w:jc w:val="center"/>
              <w:rPr>
                <w:rFonts w:hint="eastAsia" w:ascii="宋体" w:hAnsi="宋体" w:eastAsia="宋体" w:cs="宋体"/>
                <w:b w:val="0"/>
                <w:bCs w:val="0"/>
                <w:kern w:val="0"/>
                <w:sz w:val="18"/>
                <w:szCs w:val="18"/>
                <w:lang w:val="en-US" w:eastAsia="zh-CN" w:bidi="ar-SA"/>
              </w:rPr>
            </w:pPr>
          </w:p>
        </w:tc>
      </w:tr>
      <w:tr w14:paraId="0C6B26A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2DED4991">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1F1BEC8C">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52A63211">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7E7085E6">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译员职业素养</w:t>
            </w:r>
          </w:p>
        </w:tc>
        <w:tc>
          <w:tcPr>
            <w:tcW w:w="636" w:type="dxa"/>
            <w:tcBorders>
              <w:top w:val="single" w:color="000000" w:sz="4" w:space="0"/>
              <w:left w:val="single" w:color="000000" w:sz="4" w:space="0"/>
              <w:bottom w:val="single" w:color="000000" w:sz="4" w:space="0"/>
              <w:right w:val="single" w:color="000000" w:sz="4" w:space="0"/>
            </w:tcBorders>
            <w:vAlign w:val="center"/>
          </w:tcPr>
          <w:p w14:paraId="529CDC30">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32</w:t>
            </w:r>
          </w:p>
        </w:tc>
        <w:tc>
          <w:tcPr>
            <w:tcW w:w="612" w:type="dxa"/>
            <w:tcBorders>
              <w:top w:val="single" w:color="000000" w:sz="4" w:space="0"/>
              <w:left w:val="single" w:color="000000" w:sz="4" w:space="0"/>
              <w:bottom w:val="single" w:color="000000" w:sz="4" w:space="0"/>
              <w:right w:val="single" w:color="000000" w:sz="4" w:space="0"/>
            </w:tcBorders>
            <w:vAlign w:val="center"/>
          </w:tcPr>
          <w:p w14:paraId="2EDB1A9B">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2</w:t>
            </w:r>
          </w:p>
        </w:tc>
        <w:tc>
          <w:tcPr>
            <w:tcW w:w="624" w:type="dxa"/>
            <w:tcBorders>
              <w:top w:val="single" w:color="000000" w:sz="4" w:space="0"/>
              <w:left w:val="single" w:color="000000" w:sz="4" w:space="0"/>
              <w:bottom w:val="single" w:color="000000" w:sz="4" w:space="0"/>
              <w:right w:val="single" w:color="000000" w:sz="4" w:space="0"/>
            </w:tcBorders>
            <w:vAlign w:val="center"/>
          </w:tcPr>
          <w:p w14:paraId="57AEB6CB">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2CA311AE">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8992167">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764E7C5C">
            <w:pPr>
              <w:widowControl/>
              <w:snapToGrid w:val="0"/>
              <w:jc w:val="center"/>
              <w:rPr>
                <w:rFonts w:hint="eastAsia" w:ascii="宋体" w:hAnsi="宋体" w:eastAsia="宋体" w:cs="宋体"/>
                <w:b w:val="0"/>
                <w:bCs w:val="0"/>
                <w:kern w:val="0"/>
                <w:sz w:val="18"/>
                <w:szCs w:val="18"/>
                <w:lang w:val="en-US" w:eastAsia="zh-CN" w:bidi="ar-SA"/>
              </w:rPr>
            </w:pPr>
          </w:p>
        </w:tc>
      </w:tr>
      <w:tr w14:paraId="4EDBAF6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4D9771E1">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64FF5E65">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29D3EAD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FB61F80">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翻译理论前沿</w:t>
            </w:r>
          </w:p>
        </w:tc>
        <w:tc>
          <w:tcPr>
            <w:tcW w:w="636" w:type="dxa"/>
            <w:tcBorders>
              <w:top w:val="single" w:color="000000" w:sz="4" w:space="0"/>
              <w:left w:val="single" w:color="000000" w:sz="4" w:space="0"/>
              <w:bottom w:val="single" w:color="000000" w:sz="4" w:space="0"/>
              <w:right w:val="single" w:color="000000" w:sz="4" w:space="0"/>
            </w:tcBorders>
            <w:vAlign w:val="center"/>
          </w:tcPr>
          <w:p w14:paraId="40EAF248">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72EBF8FA">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67A6B13B">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76027074">
            <w:pPr>
              <w:widowControl/>
              <w:snapToGrid w:val="0"/>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588EDF8">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6BB7522D">
            <w:pPr>
              <w:widowControl/>
              <w:snapToGrid w:val="0"/>
              <w:jc w:val="center"/>
              <w:rPr>
                <w:rFonts w:hint="eastAsia" w:ascii="宋体" w:hAnsi="宋体" w:eastAsia="宋体" w:cs="宋体"/>
                <w:b w:val="0"/>
                <w:bCs w:val="0"/>
                <w:kern w:val="0"/>
                <w:sz w:val="18"/>
                <w:szCs w:val="18"/>
                <w:lang w:val="en-US" w:eastAsia="zh-CN" w:bidi="ar-SA"/>
              </w:rPr>
            </w:pPr>
          </w:p>
        </w:tc>
      </w:tr>
      <w:tr w14:paraId="3100C87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right w:val="single" w:color="000000" w:sz="4" w:space="0"/>
            </w:tcBorders>
            <w:vAlign w:val="center"/>
          </w:tcPr>
          <w:p w14:paraId="6B531EF4">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right w:val="single" w:color="000000" w:sz="4" w:space="0"/>
            </w:tcBorders>
            <w:vAlign w:val="center"/>
          </w:tcPr>
          <w:p w14:paraId="60AEE287">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35A2997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7819ED1">
            <w:pPr>
              <w:widowControl/>
              <w:snapToGrid w:val="0"/>
              <w:jc w:val="center"/>
              <w:rPr>
                <w:rFonts w:hint="default"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基于语料库的翻译分析</w:t>
            </w:r>
          </w:p>
        </w:tc>
        <w:tc>
          <w:tcPr>
            <w:tcW w:w="636" w:type="dxa"/>
            <w:tcBorders>
              <w:top w:val="single" w:color="000000" w:sz="4" w:space="0"/>
              <w:left w:val="single" w:color="000000" w:sz="4" w:space="0"/>
              <w:bottom w:val="single" w:color="000000" w:sz="4" w:space="0"/>
              <w:right w:val="single" w:color="000000" w:sz="4" w:space="0"/>
            </w:tcBorders>
            <w:vAlign w:val="center"/>
          </w:tcPr>
          <w:p w14:paraId="4AE6ED6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37108097">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vAlign w:val="center"/>
          </w:tcPr>
          <w:p w14:paraId="7C3EA0DC">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vAlign w:val="center"/>
          </w:tcPr>
          <w:p w14:paraId="1290D335">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648ECC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3AE4D0C8">
            <w:pPr>
              <w:widowControl/>
              <w:snapToGrid w:val="0"/>
              <w:jc w:val="center"/>
              <w:rPr>
                <w:rFonts w:hint="eastAsia" w:ascii="宋体" w:hAnsi="宋体" w:eastAsia="宋体" w:cs="宋体"/>
                <w:b w:val="0"/>
                <w:bCs w:val="0"/>
                <w:kern w:val="0"/>
                <w:sz w:val="18"/>
                <w:szCs w:val="18"/>
                <w:lang w:val="en-US" w:eastAsia="zh-CN" w:bidi="ar-SA"/>
              </w:rPr>
            </w:pPr>
          </w:p>
        </w:tc>
      </w:tr>
      <w:tr w14:paraId="64E41D9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940" w:type="dxa"/>
            <w:vMerge w:val="continue"/>
            <w:tcBorders>
              <w:left w:val="single" w:color="000000" w:sz="4" w:space="0"/>
              <w:bottom w:val="single" w:color="000000" w:sz="4" w:space="0"/>
              <w:right w:val="single" w:color="000000" w:sz="4" w:space="0"/>
            </w:tcBorders>
            <w:vAlign w:val="center"/>
          </w:tcPr>
          <w:p w14:paraId="0E7A6F98">
            <w:pPr>
              <w:widowControl/>
              <w:snapToGrid w:val="0"/>
              <w:jc w:val="center"/>
              <w:rPr>
                <w:rFonts w:hint="eastAsia" w:ascii="宋体" w:hAnsi="宋体" w:eastAsia="宋体" w:cs="宋体"/>
                <w:b w:val="0"/>
                <w:bCs w:val="0"/>
                <w:kern w:val="0"/>
                <w:sz w:val="18"/>
                <w:szCs w:val="18"/>
                <w:lang w:val="en-US" w:eastAsia="zh-CN" w:bidi="ar-SA"/>
              </w:rPr>
            </w:pPr>
          </w:p>
        </w:tc>
        <w:tc>
          <w:tcPr>
            <w:tcW w:w="884" w:type="dxa"/>
            <w:vMerge w:val="continue"/>
            <w:tcBorders>
              <w:left w:val="single" w:color="000000" w:sz="4" w:space="0"/>
              <w:bottom w:val="single" w:color="000000" w:sz="4" w:space="0"/>
              <w:right w:val="single" w:color="000000" w:sz="4" w:space="0"/>
            </w:tcBorders>
            <w:vAlign w:val="center"/>
          </w:tcPr>
          <w:p w14:paraId="2A73FF96">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E2C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F314">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口译技术应用</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E18F">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18F7">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F764">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84D9">
            <w:pPr>
              <w:widowControl/>
              <w:snapToGrid w:val="0"/>
              <w:jc w:val="center"/>
              <w:rPr>
                <w:rFonts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C8C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bottom w:val="single" w:color="000000" w:sz="4" w:space="0"/>
              <w:right w:val="single" w:color="000000" w:sz="4" w:space="0"/>
            </w:tcBorders>
            <w:vAlign w:val="center"/>
          </w:tcPr>
          <w:p w14:paraId="186AA368">
            <w:pPr>
              <w:widowControl/>
              <w:snapToGrid w:val="0"/>
              <w:jc w:val="center"/>
              <w:rPr>
                <w:rFonts w:hint="eastAsia" w:ascii="宋体" w:hAnsi="宋体" w:eastAsia="宋体" w:cs="宋体"/>
                <w:b w:val="0"/>
                <w:bCs w:val="0"/>
                <w:kern w:val="0"/>
                <w:sz w:val="18"/>
                <w:szCs w:val="18"/>
                <w:lang w:val="en-US" w:eastAsia="zh-CN" w:bidi="ar-SA"/>
              </w:rPr>
            </w:pPr>
          </w:p>
        </w:tc>
      </w:tr>
      <w:tr w14:paraId="06825C7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80" w:hRule="atLeast"/>
        </w:trPr>
        <w:tc>
          <w:tcPr>
            <w:tcW w:w="1824" w:type="dxa"/>
            <w:gridSpan w:val="2"/>
            <w:vMerge w:val="restart"/>
            <w:tcBorders>
              <w:top w:val="single" w:color="000000" w:sz="4" w:space="0"/>
              <w:left w:val="single" w:color="000000" w:sz="4" w:space="0"/>
              <w:right w:val="single" w:color="000000" w:sz="4" w:space="0"/>
            </w:tcBorders>
            <w:vAlign w:val="center"/>
          </w:tcPr>
          <w:p w14:paraId="465AEC34">
            <w:pPr>
              <w:widowControl/>
              <w:snapToGrid w:val="0"/>
              <w:jc w:val="center"/>
              <w:rPr>
                <w:rFonts w:hint="eastAsia" w:ascii="宋体" w:hAnsi="宋体" w:eastAsia="宋体" w:cs="宋体"/>
                <w:b w:val="0"/>
                <w:bCs w:val="0"/>
                <w:kern w:val="0"/>
                <w:sz w:val="18"/>
                <w:szCs w:val="18"/>
                <w:lang w:val="en-US" w:eastAsia="zh-CN" w:bidi="ar-SA"/>
              </w:rPr>
            </w:pPr>
          </w:p>
          <w:p w14:paraId="1C59851C">
            <w:pPr>
              <w:widowControl/>
              <w:snapToGrid w:val="0"/>
              <w:jc w:val="center"/>
              <w:rPr>
                <w:rFonts w:hint="eastAsia" w:ascii="宋体" w:hAnsi="宋体" w:eastAsia="宋体" w:cs="宋体"/>
                <w:b w:val="0"/>
                <w:bCs w:val="0"/>
                <w:kern w:val="0"/>
                <w:sz w:val="18"/>
                <w:szCs w:val="18"/>
                <w:lang w:val="en-US" w:eastAsia="zh-CN" w:bidi="ar-SA"/>
              </w:rPr>
            </w:pPr>
          </w:p>
          <w:p w14:paraId="4ED06B9F">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学术与创新实践平台</w:t>
            </w:r>
          </w:p>
        </w:tc>
        <w:tc>
          <w:tcPr>
            <w:tcW w:w="1016" w:type="dxa"/>
            <w:tcBorders>
              <w:top w:val="single" w:color="000000" w:sz="4" w:space="0"/>
              <w:left w:val="single" w:color="000000" w:sz="4" w:space="0"/>
              <w:bottom w:val="single" w:color="000000" w:sz="4" w:space="0"/>
              <w:right w:val="single" w:color="000000" w:sz="4" w:space="0"/>
            </w:tcBorders>
            <w:vAlign w:val="center"/>
          </w:tcPr>
          <w:p w14:paraId="622FDA3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H200101B</w:t>
            </w:r>
          </w:p>
        </w:tc>
        <w:tc>
          <w:tcPr>
            <w:tcW w:w="2608" w:type="dxa"/>
            <w:tcBorders>
              <w:top w:val="single" w:color="000000" w:sz="4" w:space="0"/>
              <w:left w:val="single" w:color="000000" w:sz="4" w:space="0"/>
              <w:bottom w:val="single" w:color="000000" w:sz="4" w:space="0"/>
              <w:right w:val="single" w:color="000000" w:sz="4" w:space="0"/>
            </w:tcBorders>
            <w:vAlign w:val="center"/>
          </w:tcPr>
          <w:p w14:paraId="5866741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学术例会</w:t>
            </w:r>
          </w:p>
        </w:tc>
        <w:tc>
          <w:tcPr>
            <w:tcW w:w="636" w:type="dxa"/>
            <w:tcBorders>
              <w:top w:val="single" w:color="000000" w:sz="4" w:space="0"/>
              <w:left w:val="single" w:color="000000" w:sz="4" w:space="0"/>
              <w:bottom w:val="single" w:color="000000" w:sz="4" w:space="0"/>
              <w:right w:val="single" w:color="000000" w:sz="4" w:space="0"/>
            </w:tcBorders>
            <w:vAlign w:val="center"/>
          </w:tcPr>
          <w:p w14:paraId="0AD0DAB3">
            <w:pPr>
              <w:widowControl/>
              <w:snapToGrid w:val="0"/>
              <w:jc w:val="center"/>
              <w:rPr>
                <w:rFonts w:hint="eastAsia" w:ascii="宋体" w:hAnsi="宋体" w:eastAsia="宋体" w:cs="宋体"/>
                <w:b w:val="0"/>
                <w:bCs w:val="0"/>
                <w:kern w:val="0"/>
                <w:sz w:val="18"/>
                <w:szCs w:val="18"/>
                <w:lang w:val="en-US" w:eastAsia="zh-CN" w:bidi="ar-SA"/>
              </w:rPr>
            </w:pPr>
          </w:p>
        </w:tc>
        <w:tc>
          <w:tcPr>
            <w:tcW w:w="612" w:type="dxa"/>
            <w:tcBorders>
              <w:top w:val="single" w:color="000000" w:sz="4" w:space="0"/>
              <w:left w:val="single" w:color="000000" w:sz="4" w:space="0"/>
              <w:bottom w:val="single" w:color="000000" w:sz="4" w:space="0"/>
              <w:right w:val="single" w:color="000000" w:sz="4" w:space="0"/>
            </w:tcBorders>
            <w:vAlign w:val="center"/>
          </w:tcPr>
          <w:p w14:paraId="3982EEDA">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c>
          <w:tcPr>
            <w:tcW w:w="624" w:type="dxa"/>
            <w:tcBorders>
              <w:top w:val="single" w:color="000000" w:sz="4" w:space="0"/>
              <w:left w:val="single" w:color="000000" w:sz="4" w:space="0"/>
              <w:bottom w:val="single" w:color="000000" w:sz="4" w:space="0"/>
              <w:right w:val="single" w:color="auto" w:sz="4" w:space="0"/>
            </w:tcBorders>
            <w:vAlign w:val="center"/>
          </w:tcPr>
          <w:p w14:paraId="1ED9EB58">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vAlign w:val="center"/>
          </w:tcPr>
          <w:p w14:paraId="5C92633C">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000000" w:sz="4" w:space="0"/>
              <w:left w:val="single" w:color="000000" w:sz="4" w:space="0"/>
              <w:bottom w:val="single" w:color="auto" w:sz="4" w:space="0"/>
              <w:right w:val="single" w:color="000000" w:sz="4" w:space="0"/>
            </w:tcBorders>
            <w:vAlign w:val="center"/>
          </w:tcPr>
          <w:p w14:paraId="247135D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restart"/>
            <w:tcBorders>
              <w:top w:val="single" w:color="000000" w:sz="4" w:space="0"/>
              <w:left w:val="single" w:color="000000" w:sz="4" w:space="0"/>
              <w:right w:val="single" w:color="000000" w:sz="4" w:space="0"/>
            </w:tcBorders>
            <w:vAlign w:val="center"/>
          </w:tcPr>
          <w:p w14:paraId="65474E99">
            <w:pPr>
              <w:widowControl/>
              <w:snapToGrid w:val="0"/>
              <w:jc w:val="center"/>
              <w:rPr>
                <w:rFonts w:hint="default"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8</w:t>
            </w:r>
          </w:p>
        </w:tc>
      </w:tr>
      <w:tr w14:paraId="5564C65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23" w:hRule="atLeast"/>
        </w:trPr>
        <w:tc>
          <w:tcPr>
            <w:tcW w:w="1824" w:type="dxa"/>
            <w:gridSpan w:val="2"/>
            <w:vMerge w:val="continue"/>
            <w:tcBorders>
              <w:left w:val="single" w:color="000000" w:sz="4" w:space="0"/>
              <w:right w:val="single" w:color="000000" w:sz="4" w:space="0"/>
            </w:tcBorders>
            <w:vAlign w:val="center"/>
          </w:tcPr>
          <w:p w14:paraId="01B865C3">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7D4055B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H200301B</w:t>
            </w:r>
          </w:p>
        </w:tc>
        <w:tc>
          <w:tcPr>
            <w:tcW w:w="2608" w:type="dxa"/>
            <w:tcBorders>
              <w:top w:val="single" w:color="000000" w:sz="4" w:space="0"/>
              <w:left w:val="single" w:color="000000" w:sz="4" w:space="0"/>
              <w:bottom w:val="single" w:color="000000" w:sz="4" w:space="0"/>
              <w:right w:val="single" w:color="000000" w:sz="4" w:space="0"/>
            </w:tcBorders>
            <w:vAlign w:val="center"/>
          </w:tcPr>
          <w:p w14:paraId="632D068E">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开题报告</w:t>
            </w:r>
          </w:p>
        </w:tc>
        <w:tc>
          <w:tcPr>
            <w:tcW w:w="636" w:type="dxa"/>
            <w:tcBorders>
              <w:top w:val="single" w:color="000000" w:sz="4" w:space="0"/>
              <w:left w:val="single" w:color="000000" w:sz="4" w:space="0"/>
              <w:bottom w:val="single" w:color="000000" w:sz="4" w:space="0"/>
              <w:right w:val="single" w:color="000000" w:sz="4" w:space="0"/>
            </w:tcBorders>
            <w:vAlign w:val="center"/>
          </w:tcPr>
          <w:p w14:paraId="7648C981">
            <w:pPr>
              <w:widowControl/>
              <w:snapToGrid w:val="0"/>
              <w:jc w:val="center"/>
              <w:rPr>
                <w:rFonts w:hint="eastAsia" w:ascii="宋体" w:hAnsi="宋体" w:eastAsia="宋体" w:cs="宋体"/>
                <w:b w:val="0"/>
                <w:bCs w:val="0"/>
                <w:kern w:val="0"/>
                <w:sz w:val="18"/>
                <w:szCs w:val="18"/>
                <w:lang w:val="en-US" w:eastAsia="zh-CN" w:bidi="ar-SA"/>
              </w:rPr>
            </w:pPr>
          </w:p>
        </w:tc>
        <w:tc>
          <w:tcPr>
            <w:tcW w:w="612" w:type="dxa"/>
            <w:tcBorders>
              <w:top w:val="single" w:color="000000" w:sz="4" w:space="0"/>
              <w:left w:val="single" w:color="000000" w:sz="4" w:space="0"/>
              <w:bottom w:val="single" w:color="000000" w:sz="4" w:space="0"/>
              <w:right w:val="single" w:color="000000" w:sz="4" w:space="0"/>
            </w:tcBorders>
            <w:vAlign w:val="center"/>
          </w:tcPr>
          <w:p w14:paraId="5F707B9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c>
          <w:tcPr>
            <w:tcW w:w="624" w:type="dxa"/>
            <w:tcBorders>
              <w:top w:val="single" w:color="000000" w:sz="4" w:space="0"/>
              <w:left w:val="single" w:color="000000" w:sz="4" w:space="0"/>
              <w:bottom w:val="single" w:color="000000" w:sz="4" w:space="0"/>
              <w:right w:val="single" w:color="auto" w:sz="4" w:space="0"/>
            </w:tcBorders>
            <w:vAlign w:val="center"/>
          </w:tcPr>
          <w:p w14:paraId="5E8176A7">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vAlign w:val="center"/>
          </w:tcPr>
          <w:p w14:paraId="422DD6E2">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auto" w:sz="4" w:space="0"/>
              <w:left w:val="single" w:color="000000" w:sz="4" w:space="0"/>
              <w:bottom w:val="single" w:color="auto" w:sz="4" w:space="0"/>
              <w:right w:val="single" w:color="000000" w:sz="4" w:space="0"/>
            </w:tcBorders>
            <w:vAlign w:val="center"/>
          </w:tcPr>
          <w:p w14:paraId="2170F06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334986CC">
            <w:pPr>
              <w:widowControl/>
              <w:snapToGrid w:val="0"/>
              <w:jc w:val="center"/>
              <w:rPr>
                <w:rFonts w:hint="eastAsia" w:ascii="宋体" w:hAnsi="宋体" w:eastAsia="宋体" w:cs="宋体"/>
                <w:b w:val="0"/>
                <w:bCs w:val="0"/>
                <w:kern w:val="0"/>
                <w:sz w:val="18"/>
                <w:szCs w:val="18"/>
                <w:lang w:val="en-US" w:eastAsia="zh-CN" w:bidi="ar-SA"/>
              </w:rPr>
            </w:pPr>
          </w:p>
        </w:tc>
      </w:tr>
      <w:tr w14:paraId="63BA40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6EA2586D">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5EBFA021">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H200403B</w:t>
            </w:r>
          </w:p>
        </w:tc>
        <w:tc>
          <w:tcPr>
            <w:tcW w:w="2608" w:type="dxa"/>
            <w:tcBorders>
              <w:top w:val="single" w:color="000000" w:sz="4" w:space="0"/>
              <w:left w:val="single" w:color="000000" w:sz="4" w:space="0"/>
              <w:bottom w:val="single" w:color="000000" w:sz="4" w:space="0"/>
              <w:right w:val="single" w:color="000000" w:sz="4" w:space="0"/>
            </w:tcBorders>
            <w:vAlign w:val="center"/>
          </w:tcPr>
          <w:p w14:paraId="739060D9">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中期检查</w:t>
            </w:r>
          </w:p>
        </w:tc>
        <w:tc>
          <w:tcPr>
            <w:tcW w:w="636" w:type="dxa"/>
            <w:tcBorders>
              <w:top w:val="single" w:color="000000" w:sz="4" w:space="0"/>
              <w:left w:val="single" w:color="000000" w:sz="4" w:space="0"/>
              <w:bottom w:val="single" w:color="000000" w:sz="4" w:space="0"/>
              <w:right w:val="single" w:color="000000" w:sz="4" w:space="0"/>
            </w:tcBorders>
            <w:vAlign w:val="center"/>
          </w:tcPr>
          <w:p w14:paraId="6B78D7EB">
            <w:pPr>
              <w:widowControl/>
              <w:snapToGrid w:val="0"/>
              <w:jc w:val="center"/>
              <w:rPr>
                <w:rFonts w:hint="eastAsia" w:ascii="宋体" w:hAnsi="宋体" w:eastAsia="宋体" w:cs="宋体"/>
                <w:b w:val="0"/>
                <w:bCs w:val="0"/>
                <w:kern w:val="0"/>
                <w:sz w:val="18"/>
                <w:szCs w:val="18"/>
                <w:lang w:val="en-US" w:eastAsia="zh-CN" w:bidi="ar-SA"/>
              </w:rPr>
            </w:pPr>
          </w:p>
        </w:tc>
        <w:tc>
          <w:tcPr>
            <w:tcW w:w="612" w:type="dxa"/>
            <w:tcBorders>
              <w:top w:val="single" w:color="000000" w:sz="4" w:space="0"/>
              <w:left w:val="single" w:color="000000" w:sz="4" w:space="0"/>
              <w:bottom w:val="single" w:color="000000" w:sz="4" w:space="0"/>
              <w:right w:val="single" w:color="000000" w:sz="4" w:space="0"/>
            </w:tcBorders>
            <w:vAlign w:val="center"/>
          </w:tcPr>
          <w:p w14:paraId="62F7C032">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c>
          <w:tcPr>
            <w:tcW w:w="624" w:type="dxa"/>
            <w:tcBorders>
              <w:top w:val="single" w:color="000000" w:sz="4" w:space="0"/>
              <w:left w:val="single" w:color="000000" w:sz="4" w:space="0"/>
              <w:bottom w:val="single" w:color="000000" w:sz="4" w:space="0"/>
              <w:right w:val="single" w:color="auto" w:sz="4" w:space="0"/>
            </w:tcBorders>
            <w:vAlign w:val="center"/>
          </w:tcPr>
          <w:p w14:paraId="03BE133E">
            <w:pPr>
              <w:widowControl/>
              <w:snapToGrid w:val="0"/>
              <w:jc w:val="center"/>
              <w:rPr>
                <w:rFonts w:hint="eastAsia" w:ascii="宋体" w:hAnsi="宋体" w:eastAsia="宋体" w:cs="宋体"/>
                <w:b w:val="0"/>
                <w:bCs w:val="0"/>
                <w:kern w:val="0"/>
                <w:sz w:val="18"/>
                <w:szCs w:val="18"/>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vAlign w:val="center"/>
          </w:tcPr>
          <w:p w14:paraId="4B1F3E33">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auto" w:sz="4" w:space="0"/>
              <w:left w:val="single" w:color="000000" w:sz="4" w:space="0"/>
              <w:bottom w:val="single" w:color="000000" w:sz="4" w:space="0"/>
              <w:right w:val="single" w:color="000000" w:sz="4" w:space="0"/>
            </w:tcBorders>
            <w:vAlign w:val="center"/>
          </w:tcPr>
          <w:p w14:paraId="4C14D2C4">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2FFF0686">
            <w:pPr>
              <w:widowControl/>
              <w:snapToGrid w:val="0"/>
              <w:jc w:val="center"/>
              <w:rPr>
                <w:rFonts w:hint="eastAsia" w:ascii="宋体" w:hAnsi="宋体" w:eastAsia="宋体" w:cs="宋体"/>
                <w:b w:val="0"/>
                <w:bCs w:val="0"/>
                <w:kern w:val="0"/>
                <w:sz w:val="18"/>
                <w:szCs w:val="18"/>
                <w:lang w:val="en-US" w:eastAsia="zh-CN" w:bidi="ar-SA"/>
              </w:rPr>
            </w:pPr>
          </w:p>
        </w:tc>
      </w:tr>
      <w:tr w14:paraId="78629D7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3659E87B">
            <w:pPr>
              <w:widowControl/>
              <w:snapToGrid w:val="0"/>
              <w:jc w:val="center"/>
              <w:rPr>
                <w:rFonts w:hint="eastAsia" w:ascii="宋体" w:hAnsi="宋体" w:eastAsia="宋体" w:cs="宋体"/>
                <w:b w:val="0"/>
                <w:bCs w:val="0"/>
                <w:kern w:val="0"/>
                <w:sz w:val="18"/>
                <w:szCs w:val="18"/>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077E0FC0">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1FB03D1C">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MTI阅读计划</w:t>
            </w:r>
          </w:p>
        </w:tc>
        <w:tc>
          <w:tcPr>
            <w:tcW w:w="636" w:type="dxa"/>
            <w:tcBorders>
              <w:top w:val="single" w:color="000000" w:sz="4" w:space="0"/>
              <w:left w:val="single" w:color="000000" w:sz="4" w:space="0"/>
              <w:bottom w:val="single" w:color="000000" w:sz="4" w:space="0"/>
              <w:right w:val="single" w:color="000000" w:sz="4" w:space="0"/>
            </w:tcBorders>
            <w:vAlign w:val="center"/>
          </w:tcPr>
          <w:p w14:paraId="793835A6">
            <w:pPr>
              <w:widowControl/>
              <w:snapToGrid w:val="0"/>
              <w:jc w:val="center"/>
              <w:rPr>
                <w:rFonts w:hint="eastAsia" w:ascii="宋体" w:hAnsi="宋体" w:eastAsia="宋体" w:cs="宋体"/>
                <w:b w:val="0"/>
                <w:bCs w:val="0"/>
                <w:kern w:val="0"/>
                <w:sz w:val="18"/>
                <w:szCs w:val="18"/>
                <w:lang w:val="en-US" w:eastAsia="zh-CN" w:bidi="ar-SA"/>
              </w:rPr>
            </w:pPr>
          </w:p>
        </w:tc>
        <w:tc>
          <w:tcPr>
            <w:tcW w:w="612" w:type="dxa"/>
            <w:tcBorders>
              <w:top w:val="single" w:color="000000" w:sz="4" w:space="0"/>
              <w:left w:val="single" w:color="000000" w:sz="4" w:space="0"/>
              <w:bottom w:val="single" w:color="000000" w:sz="4" w:space="0"/>
              <w:right w:val="single" w:color="000000" w:sz="4" w:space="0"/>
            </w:tcBorders>
            <w:vAlign w:val="center"/>
          </w:tcPr>
          <w:p w14:paraId="16BE5823">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vAlign w:val="center"/>
          </w:tcPr>
          <w:p w14:paraId="7B0CF498">
            <w:pPr>
              <w:widowControl/>
              <w:snapToGrid w:val="0"/>
              <w:jc w:val="center"/>
              <w:rPr>
                <w:rFonts w:hint="eastAsia" w:ascii="宋体" w:hAnsi="宋体" w:eastAsia="宋体" w:cs="宋体"/>
                <w:b w:val="0"/>
                <w:bCs w:val="0"/>
                <w:kern w:val="0"/>
                <w:sz w:val="18"/>
                <w:szCs w:val="18"/>
                <w:lang w:val="en-US" w:eastAsia="zh-CN" w:bidi="ar-SA"/>
              </w:rPr>
            </w:pPr>
            <w:r>
              <w:rPr>
                <w:rFonts w:cs="宋体" w:asciiTheme="minorEastAsia" w:hAnsiTheme="minorEastAsia" w:eastAsiaTheme="minorEastAsia"/>
                <w:kern w:val="0"/>
                <w:sz w:val="18"/>
                <w:szCs w:val="18"/>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04764551">
            <w:pPr>
              <w:widowControl/>
              <w:snapToGrid w:val="0"/>
              <w:jc w:val="center"/>
              <w:rPr>
                <w:rFonts w:hint="eastAsia" w:ascii="宋体" w:hAnsi="宋体" w:eastAsia="宋体" w:cs="宋体"/>
                <w:b w:val="0"/>
                <w:bCs w:val="0"/>
                <w:kern w:val="0"/>
                <w:sz w:val="18"/>
                <w:szCs w:val="18"/>
                <w:lang w:val="en-US" w:eastAsia="zh-CN" w:bidi="ar-SA"/>
              </w:rPr>
            </w:pPr>
          </w:p>
        </w:tc>
        <w:tc>
          <w:tcPr>
            <w:tcW w:w="540" w:type="dxa"/>
            <w:tcBorders>
              <w:top w:val="single" w:color="auto" w:sz="4" w:space="0"/>
              <w:left w:val="single" w:color="000000" w:sz="4" w:space="0"/>
              <w:bottom w:val="single" w:color="000000" w:sz="4" w:space="0"/>
              <w:right w:val="single" w:color="000000" w:sz="4" w:space="0"/>
            </w:tcBorders>
            <w:vAlign w:val="center"/>
          </w:tcPr>
          <w:p w14:paraId="05344C38">
            <w:pPr>
              <w:widowControl/>
              <w:snapToGrid w:val="0"/>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考查</w:t>
            </w:r>
          </w:p>
        </w:tc>
        <w:tc>
          <w:tcPr>
            <w:tcW w:w="1120" w:type="dxa"/>
            <w:vMerge w:val="continue"/>
            <w:tcBorders>
              <w:left w:val="single" w:color="000000" w:sz="4" w:space="0"/>
              <w:right w:val="single" w:color="000000" w:sz="4" w:space="0"/>
            </w:tcBorders>
            <w:vAlign w:val="center"/>
          </w:tcPr>
          <w:p w14:paraId="08215CCF">
            <w:pPr>
              <w:widowControl/>
              <w:snapToGrid w:val="0"/>
              <w:jc w:val="center"/>
              <w:rPr>
                <w:rFonts w:hint="eastAsia" w:ascii="宋体" w:hAnsi="宋体" w:eastAsia="宋体" w:cs="宋体"/>
                <w:b w:val="0"/>
                <w:bCs w:val="0"/>
                <w:kern w:val="0"/>
                <w:sz w:val="18"/>
                <w:szCs w:val="18"/>
                <w:lang w:val="en-US" w:eastAsia="zh-CN" w:bidi="ar-SA"/>
              </w:rPr>
            </w:pPr>
          </w:p>
        </w:tc>
      </w:tr>
      <w:tr w14:paraId="3B0F8AB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096D437C">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53A8DEAE">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D64AF78">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专业翻译实践1-交通翻译实践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757E59E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1E4455BF">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9181BF6">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52823EDE">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7065421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1E427878">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5344EDD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57277C18">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05B8B040">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09EED44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专业翻译实践2-新闻翻译实践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1FAC336A">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70D701C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37D2EBEA">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561EAF79">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21504EA6">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40D52E9F">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2071938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64E67951">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B9A62EE">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96DD">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专业翻译实践3-国际传播翻译实践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5097">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AD2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FB38344">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16444BED">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829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063D0E4B">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566A286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45B6EC54">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283BF2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633995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专业翻译实践4-文学翻译实践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0698272F">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4A56388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6F3461BB">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0FAC126E">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3C86A37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29755309">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7AA35A3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39F17135">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4D0376AB">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4E7C390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专业翻译实践5-中医翻译实践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37BD3DE6">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78CA024D">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1227CC86">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5CF44C98">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359EBE73">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49071CF9">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335AB4D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3FD47398">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3BCE768">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688157B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专业翻译实践6-工程技术翻译实践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079F217F">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2F51462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889080E">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542E2213">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26598F6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446279DB">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716F594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7DFC9096">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2F1D859D">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1646E5A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专业翻译实践7-经济翻译实践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6BCF928F">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57D613C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1707EEA8">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3EA561C9">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3DACD50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38E7D389">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7A50953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vMerge w:val="continue"/>
            <w:tcBorders>
              <w:left w:val="single" w:color="000000" w:sz="4" w:space="0"/>
              <w:right w:val="single" w:color="000000" w:sz="4" w:space="0"/>
            </w:tcBorders>
            <w:vAlign w:val="center"/>
          </w:tcPr>
          <w:p w14:paraId="6F328D1D">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5B55F0F3">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19ADAEA1">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专业翻译实践8-时政翻译实践</w:t>
            </w:r>
          </w:p>
        </w:tc>
        <w:tc>
          <w:tcPr>
            <w:tcW w:w="636" w:type="dxa"/>
            <w:tcBorders>
              <w:top w:val="single" w:color="000000" w:sz="4" w:space="0"/>
              <w:left w:val="single" w:color="000000" w:sz="4" w:space="0"/>
              <w:bottom w:val="single" w:color="000000" w:sz="4" w:space="0"/>
              <w:right w:val="single" w:color="000000" w:sz="4" w:space="0"/>
            </w:tcBorders>
            <w:vAlign w:val="center"/>
          </w:tcPr>
          <w:p w14:paraId="22E2076B">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vAlign w:val="center"/>
          </w:tcPr>
          <w:p w14:paraId="53F1280B">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6FFE29DF">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480" w:type="dxa"/>
            <w:tcBorders>
              <w:top w:val="single" w:color="000000" w:sz="4" w:space="0"/>
              <w:left w:val="single" w:color="auto" w:sz="4" w:space="0"/>
              <w:bottom w:val="single" w:color="000000" w:sz="4" w:space="0"/>
              <w:right w:val="single" w:color="000000" w:sz="4" w:space="0"/>
            </w:tcBorders>
            <w:vAlign w:val="center"/>
          </w:tcPr>
          <w:p w14:paraId="6C85C13B">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vAlign w:val="center"/>
          </w:tcPr>
          <w:p w14:paraId="29AE46F1">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vMerge w:val="continue"/>
            <w:tcBorders>
              <w:left w:val="single" w:color="000000" w:sz="4" w:space="0"/>
              <w:right w:val="single" w:color="000000" w:sz="4" w:space="0"/>
            </w:tcBorders>
            <w:vAlign w:val="center"/>
          </w:tcPr>
          <w:p w14:paraId="274ED83B">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6CB9F58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tcBorders>
              <w:left w:val="single" w:color="000000" w:sz="4" w:space="0"/>
              <w:right w:val="single" w:color="000000" w:sz="4" w:space="0"/>
            </w:tcBorders>
            <w:vAlign w:val="center"/>
          </w:tcPr>
          <w:p w14:paraId="076C8538">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869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FBDE">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专业翻译实践9-中国非物质文化遗产翻译实践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3D0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BBA6">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53A5697D">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195B391D">
            <w:pPr>
              <w:widowControl/>
              <w:snapToGrid w:val="0"/>
              <w:jc w:val="center"/>
              <w:rPr>
                <w:rFonts w:cs="宋体" w:asciiTheme="minorEastAsia" w:hAnsiTheme="minorEastAsia" w:eastAsiaTheme="minorEastAsia"/>
                <w:kern w:val="0"/>
                <w:sz w:val="18"/>
                <w:szCs w:val="18"/>
                <w:highlight w:val="none"/>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AA6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tcBorders>
              <w:left w:val="single" w:color="000000" w:sz="4" w:space="0"/>
              <w:right w:val="single" w:color="000000" w:sz="4" w:space="0"/>
            </w:tcBorders>
            <w:vAlign w:val="center"/>
          </w:tcPr>
          <w:p w14:paraId="0338C25F">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14E6FE6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tcBorders>
              <w:left w:val="single" w:color="000000" w:sz="4" w:space="0"/>
              <w:right w:val="single" w:color="000000" w:sz="4" w:space="0"/>
            </w:tcBorders>
            <w:vAlign w:val="center"/>
          </w:tcPr>
          <w:p w14:paraId="32D60340">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849F">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7971">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专业翻译实践10-外事翻译实践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C26A">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C77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01E33037">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26248876">
            <w:pPr>
              <w:widowControl/>
              <w:snapToGrid w:val="0"/>
              <w:jc w:val="center"/>
              <w:rPr>
                <w:rFonts w:cs="宋体" w:asciiTheme="minorEastAsia" w:hAnsiTheme="minorEastAsia" w:eastAsiaTheme="minorEastAsia"/>
                <w:kern w:val="0"/>
                <w:sz w:val="18"/>
                <w:szCs w:val="18"/>
                <w:highlight w:val="none"/>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69C2">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tcBorders>
              <w:left w:val="single" w:color="000000" w:sz="4" w:space="0"/>
              <w:right w:val="single" w:color="000000" w:sz="4" w:space="0"/>
            </w:tcBorders>
            <w:vAlign w:val="center"/>
          </w:tcPr>
          <w:p w14:paraId="7FB00F55">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1E77C80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tcBorders>
              <w:left w:val="single" w:color="000000" w:sz="4" w:space="0"/>
              <w:right w:val="single" w:color="000000" w:sz="4" w:space="0"/>
            </w:tcBorders>
            <w:vAlign w:val="center"/>
          </w:tcPr>
          <w:p w14:paraId="7548E440">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3C994F61">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2182E8CC">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专业翻译实践11-翻译校对和书籍排版实践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68C7">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DD53">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82DA8EA">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0E82E0BF">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6663">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tcBorders>
              <w:left w:val="single" w:color="000000" w:sz="4" w:space="0"/>
              <w:right w:val="single" w:color="000000" w:sz="4" w:space="0"/>
            </w:tcBorders>
            <w:vAlign w:val="center"/>
          </w:tcPr>
          <w:p w14:paraId="0FDBA399">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167693C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tcBorders>
              <w:left w:val="single" w:color="000000" w:sz="4" w:space="0"/>
              <w:right w:val="single" w:color="000000" w:sz="4" w:space="0"/>
            </w:tcBorders>
            <w:vAlign w:val="center"/>
          </w:tcPr>
          <w:p w14:paraId="4B44E069">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152C70B0">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78B6ECF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专业翻译实践12-翻译大数据分析与处理</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7A0B">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C439">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5739629D">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06239FD4">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61DE">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tcBorders>
              <w:left w:val="single" w:color="000000" w:sz="4" w:space="0"/>
              <w:right w:val="single" w:color="000000" w:sz="4" w:space="0"/>
            </w:tcBorders>
            <w:shd w:val="clear" w:color="auto" w:fill="auto"/>
            <w:vAlign w:val="center"/>
          </w:tcPr>
          <w:p w14:paraId="73803592">
            <w:pPr>
              <w:widowControl/>
              <w:snapToGrid w:val="0"/>
              <w:jc w:val="center"/>
              <w:rPr>
                <w:rFonts w:hint="eastAsia" w:ascii="宋体" w:hAnsi="宋体" w:eastAsia="宋体" w:cs="宋体"/>
                <w:b w:val="0"/>
                <w:bCs w:val="0"/>
                <w:kern w:val="0"/>
                <w:sz w:val="18"/>
                <w:szCs w:val="18"/>
                <w:highlight w:val="none"/>
                <w:lang w:val="en-US" w:eastAsia="zh-CN" w:bidi="ar-SA"/>
              </w:rPr>
            </w:pPr>
          </w:p>
        </w:tc>
      </w:tr>
      <w:tr w14:paraId="1427893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trPr>
        <w:tc>
          <w:tcPr>
            <w:tcW w:w="1824" w:type="dxa"/>
            <w:gridSpan w:val="2"/>
            <w:tcBorders>
              <w:left w:val="single" w:color="000000" w:sz="4" w:space="0"/>
              <w:bottom w:val="single" w:color="auto" w:sz="4" w:space="0"/>
              <w:right w:val="single" w:color="000000" w:sz="4" w:space="0"/>
            </w:tcBorders>
            <w:vAlign w:val="center"/>
          </w:tcPr>
          <w:p w14:paraId="7F4B822E">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1016" w:type="dxa"/>
            <w:tcBorders>
              <w:top w:val="single" w:color="000000" w:sz="4" w:space="0"/>
              <w:left w:val="single" w:color="000000" w:sz="4" w:space="0"/>
              <w:bottom w:val="single" w:color="000000" w:sz="4" w:space="0"/>
              <w:right w:val="single" w:color="000000" w:sz="4" w:space="0"/>
            </w:tcBorders>
            <w:vAlign w:val="center"/>
          </w:tcPr>
          <w:p w14:paraId="0CF5D9A0">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新课</w:t>
            </w:r>
          </w:p>
        </w:tc>
        <w:tc>
          <w:tcPr>
            <w:tcW w:w="2608" w:type="dxa"/>
            <w:tcBorders>
              <w:top w:val="single" w:color="000000" w:sz="4" w:space="0"/>
              <w:left w:val="single" w:color="000000" w:sz="4" w:space="0"/>
              <w:bottom w:val="single" w:color="000000" w:sz="4" w:space="0"/>
              <w:right w:val="single" w:color="000000" w:sz="4" w:space="0"/>
            </w:tcBorders>
            <w:vAlign w:val="center"/>
          </w:tcPr>
          <w:p w14:paraId="7196134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专业翻译实践13-翻译促进“讲好中国故事”调研实践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A4D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2185">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0.5</w:t>
            </w:r>
          </w:p>
        </w:tc>
        <w:tc>
          <w:tcPr>
            <w:tcW w:w="6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BD4E0FF">
            <w:pPr>
              <w:widowControl/>
              <w:snapToGrid w:val="0"/>
              <w:jc w:val="center"/>
              <w:rPr>
                <w:rFonts w:hint="eastAsia" w:ascii="宋体" w:hAnsi="宋体" w:eastAsia="宋体" w:cs="宋体"/>
                <w:b w:val="0"/>
                <w:bCs w:val="0"/>
                <w:kern w:val="0"/>
                <w:sz w:val="18"/>
                <w:szCs w:val="18"/>
                <w:highlight w:val="none"/>
                <w:lang w:val="en-US" w:eastAsia="zh-CN" w:bidi="ar-SA"/>
              </w:rPr>
            </w:pPr>
          </w:p>
        </w:tc>
        <w:tc>
          <w:tcPr>
            <w:tcW w:w="480" w:type="dxa"/>
            <w:tcBorders>
              <w:top w:val="single" w:color="000000" w:sz="4" w:space="0"/>
              <w:left w:val="single" w:color="auto" w:sz="4" w:space="0"/>
              <w:bottom w:val="single" w:color="000000" w:sz="4" w:space="0"/>
              <w:right w:val="single" w:color="000000" w:sz="4" w:space="0"/>
            </w:tcBorders>
            <w:shd w:val="clear" w:color="auto" w:fill="auto"/>
            <w:vAlign w:val="center"/>
          </w:tcPr>
          <w:p w14:paraId="1EEE8407">
            <w:pPr>
              <w:widowControl/>
              <w:snapToGrid w:val="0"/>
              <w:jc w:val="center"/>
              <w:rPr>
                <w:rFonts w:hint="eastAsia" w:ascii="宋体" w:hAnsi="宋体" w:eastAsia="宋体" w:cs="宋体"/>
                <w:b w:val="0"/>
                <w:bCs w:val="0"/>
                <w:kern w:val="0"/>
                <w:sz w:val="18"/>
                <w:szCs w:val="18"/>
                <w:highlight w:val="none"/>
                <w:lang w:val="en-US" w:eastAsia="zh-CN" w:bidi="ar-SA"/>
              </w:rPr>
            </w:pPr>
            <w:r>
              <w:rPr>
                <w:rFonts w:cs="宋体" w:asciiTheme="minorEastAsia" w:hAnsiTheme="minorEastAsia" w:eastAsiaTheme="minorEastAsia"/>
                <w:kern w:val="0"/>
                <w:sz w:val="18"/>
                <w:szCs w:val="18"/>
                <w:highlight w:val="none"/>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3DD4">
            <w:pPr>
              <w:widowControl/>
              <w:snapToGrid w:val="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SA"/>
              </w:rPr>
              <w:t>考查</w:t>
            </w:r>
          </w:p>
        </w:tc>
        <w:tc>
          <w:tcPr>
            <w:tcW w:w="1120" w:type="dxa"/>
            <w:tcBorders>
              <w:left w:val="single" w:color="000000" w:sz="4" w:space="0"/>
              <w:bottom w:val="single" w:color="auto" w:sz="4" w:space="0"/>
              <w:right w:val="single" w:color="000000" w:sz="4" w:space="0"/>
            </w:tcBorders>
            <w:shd w:val="clear" w:color="auto" w:fill="auto"/>
            <w:vAlign w:val="center"/>
          </w:tcPr>
          <w:p w14:paraId="6EFB80A7">
            <w:pPr>
              <w:widowControl/>
              <w:snapToGrid w:val="0"/>
              <w:jc w:val="center"/>
              <w:rPr>
                <w:rFonts w:hint="eastAsia" w:ascii="宋体" w:hAnsi="宋体" w:eastAsia="宋体" w:cs="宋体"/>
                <w:b w:val="0"/>
                <w:bCs w:val="0"/>
                <w:kern w:val="0"/>
                <w:sz w:val="18"/>
                <w:szCs w:val="18"/>
                <w:highlight w:val="none"/>
                <w:lang w:val="en-US" w:eastAsia="zh-CN" w:bidi="ar-SA"/>
              </w:rPr>
            </w:pPr>
          </w:p>
        </w:tc>
      </w:tr>
    </w:tbl>
    <w:p w14:paraId="1724E4C8">
      <w:pPr>
        <w:spacing w:line="1" w:lineRule="exact"/>
        <w:rPr>
          <w:highlight w:val="none"/>
        </w:rPr>
      </w:pPr>
    </w:p>
    <w:sectPr>
      <w:headerReference r:id="rId4" w:type="default"/>
      <w:footerReference r:id="rId5" w:type="default"/>
      <w:pgSz w:w="11900" w:h="16820"/>
      <w:pgMar w:top="1440" w:right="1200" w:bottom="2640" w:left="1200" w:header="720" w:footer="13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2C673">
    <w:pPr>
      <w:spacing w:line="432" w:lineRule="auto"/>
      <w:jc w:val="center"/>
    </w:pP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2727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782727B">
                    <w:pPr>
                      <w:pStyle w:val="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Calibri" w:hAnsi="Calibri" w:eastAsia="Calibri"/>
        <w:color w:val="000000"/>
        <w:sz w:val="19"/>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9486A">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C5587">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BC5587">
                    <w:pPr>
                      <w:pStyle w:val="2"/>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265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BF043"/>
    <w:multiLevelType w:val="singleLevel"/>
    <w:tmpl w:val="88BBF04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6051"/>
    <w:rsid w:val="009F0BE0"/>
    <w:rsid w:val="00BA6D97"/>
    <w:rsid w:val="00BD0BC8"/>
    <w:rsid w:val="01B24B10"/>
    <w:rsid w:val="05F1547D"/>
    <w:rsid w:val="07340F22"/>
    <w:rsid w:val="0A7D0A7E"/>
    <w:rsid w:val="0E593154"/>
    <w:rsid w:val="0F9F69E6"/>
    <w:rsid w:val="100A0D21"/>
    <w:rsid w:val="10EE3AE6"/>
    <w:rsid w:val="13F9064E"/>
    <w:rsid w:val="1692108B"/>
    <w:rsid w:val="20360A44"/>
    <w:rsid w:val="218816CE"/>
    <w:rsid w:val="24B57439"/>
    <w:rsid w:val="2C8221C3"/>
    <w:rsid w:val="2D6D5ED7"/>
    <w:rsid w:val="2DED7288"/>
    <w:rsid w:val="324304F6"/>
    <w:rsid w:val="38B31CE3"/>
    <w:rsid w:val="3A1E1831"/>
    <w:rsid w:val="3DB039E8"/>
    <w:rsid w:val="3E545D5C"/>
    <w:rsid w:val="4BC860E3"/>
    <w:rsid w:val="4F024CDA"/>
    <w:rsid w:val="511326A6"/>
    <w:rsid w:val="56896A91"/>
    <w:rsid w:val="572673DF"/>
    <w:rsid w:val="58D7689F"/>
    <w:rsid w:val="59F73221"/>
    <w:rsid w:val="5E2029A0"/>
    <w:rsid w:val="60A7597A"/>
    <w:rsid w:val="62595DA0"/>
    <w:rsid w:val="63DC2032"/>
    <w:rsid w:val="67A02C6C"/>
    <w:rsid w:val="6DAE7B9A"/>
    <w:rsid w:val="6FFD3FBC"/>
    <w:rsid w:val="75766806"/>
    <w:rsid w:val="76A40291"/>
    <w:rsid w:val="7C933ED0"/>
    <w:rsid w:val="7CA72B58"/>
    <w:rsid w:val="7D521E34"/>
    <w:rsid w:val="7DD453A5"/>
    <w:rsid w:val="7DF82266"/>
    <w:rsid w:val="7FC84739"/>
    <w:rsid w:val="7FD43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4849</Words>
  <Characters>5136</Characters>
  <TotalTime>2</TotalTime>
  <ScaleCrop>false</ScaleCrop>
  <LinksUpToDate>false</LinksUpToDate>
  <CharactersWithSpaces>5142</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2024-11-25T06:28:00Z</dcterms:created>
  <dc:creator>INTSIG</dc:creator>
  <dc:description>Intsig Word Converter</dc:description>
  <cp:lastModifiedBy>王筱依</cp:lastModifiedBy>
  <cp:lastPrinted>2025-02-17T11:52:00Z</cp:lastPrinted>
  <dcterms:modified xsi:type="dcterms:W3CDTF">2026-03-30T02:08:48Z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DA7924AF09E149FBA74FD0B779F31187_13</vt:lpwstr>
  </property>
  <property fmtid="{D5CDD505-2E9C-101B-9397-08002B2CF9AE}" pid="4" name="KSOTemplateDocerSaveRecord">
    <vt:lpwstr>eyJoZGlkIjoiNTJmNTYyYjMxYzJkNWNhZTAzMzUzYTcwZDMwOTQ0N2EiLCJ1c2VySWQiOiI4MDczNTQzMDYifQ==</vt:lpwstr>
  </property>
</Properties>
</file>